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sana-20261105.htm"/>
      <w:bookmarkStart w:id="1" w:name="kssana20261105"/>
      <w:bookmarkEnd w:id="0"/>
      <w:bookmarkEnd w:id="1"/>
      <w:r>
        <w:t> </w:t>
      </w:r>
    </w:p>
    <w:p>
      <w:pPr>
        <w:pStyle w:val="TextBody"/>
        <w:pBdr>
          <w:bottom w:val="single" w:sz="6" w:space="1" w:color="000000"/>
        </w:pBdr>
        <w:bidi w:val="0"/>
        <w:jc w:val="left"/>
      </w:pPr>
      <w: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pBdr>
          <w:bottom w:val="single" w:sz="8" w:space="1" w:color="000000"/>
        </w:pBdr>
        <w:bidi w:val="0"/>
        <w:jc w:val="center"/>
      </w:pPr>
      <w:r>
        <w:t> </w:t>
      </w:r>
    </w:p>
    <w:p>
      <w:pPr>
        <w:pStyle w:val="TextBody"/>
        <w:bidi w:val="0"/>
        <w:spacing w:before="24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pBdr>
          <w:bottom w:val="single" w:sz="8" w:space="1" w:color="000000"/>
        </w:pBdr>
        <w:bidi w:val="0"/>
        <w:jc w:val="center"/>
      </w:pPr>
      <w:r>
        <w:t> </w:t>
      </w:r>
    </w:p>
    <w:p>
      <w:pPr>
        <w:pStyle w:val="TextBody"/>
        <w:bidi w:val="0"/>
        <w:spacing w:before="24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 of the</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Securities Exchange Act of 1934</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Date of Report (Date of earliest event reported): November 5, 2026</w:t>
      </w:r>
      <w:r>
        <w:rPr>
          <w:rFonts w:ascii="Times New Roman" w:hAnsi="Times New Roman"/>
          <w:color w:val="000000"/>
          <w:sz w:val="24"/>
        </w:rPr>
        <w:t xml:space="preserve"> </w:t>
      </w:r>
    </w:p>
    <w:p>
      <w:pPr>
        <w:pStyle w:val="TextBody"/>
        <w:pBdr>
          <w:bottom w:val="single" w:sz="8" w:space="1" w:color="000000"/>
        </w:pBdr>
        <w:bidi w:val="0"/>
        <w:spacing w:before="0" w:after="240"/>
        <w:jc w:val="center"/>
      </w:pPr>
      <w:r>
        <w:t> </w:t>
      </w:r>
    </w:p>
    <w:p>
      <w:pPr>
        <w:pStyle w:val="TextBody"/>
        <w:bidi w:val="0"/>
        <w:jc w:val="center"/>
        <w:rPr>
          <w:rFonts w:ascii="Times New Roman" w:hAnsi="Times New Roman"/>
          <w:sz w:val="48"/>
        </w:rPr>
      </w:pPr>
      <w:r>
        <w:rPr>
          <w:rFonts w:ascii="Times New Roman" w:hAnsi="Times New Roman"/>
          <w:b/>
          <w:color w:val="000000"/>
          <w:sz w:val="48"/>
        </w:rPr>
        <w:t>SANA BIOTECHNOLOGY, INC.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pPr>
      <w:r>
        <w:t> </w:t>
      </w:r>
    </w:p>
    <w:tbl>
      <w:tblPr>
        <w:tblW w:w="5245" w:type="dxa"/>
        <w:jc w:val="left"/>
        <w:tblInd w:w="0" w:type="dxa"/>
        <w:tblLayout w:type="fixed"/>
        <w:tblCellMar>
          <w:top w:w="28" w:type="dxa"/>
          <w:left w:w="28" w:type="dxa"/>
          <w:bottom w:w="28" w:type="dxa"/>
          <w:right w:w="28" w:type="dxa"/>
        </w:tblCellMar>
      </w:tblPr>
      <w:tblGrid>
        <w:gridCol w:w="2071"/>
        <w:gridCol w:w="146"/>
        <w:gridCol w:w="1066"/>
        <w:gridCol w:w="146"/>
        <w:gridCol w:w="1816"/>
      </w:tblGrid>
      <w:t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c>
          <w:tcPr>
            <w:tcW w:w="2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16" w:type="dxa"/>
            <w:tcBorders/>
            <w:tcMar>
              <w:top w:w="0" w:type="dxa"/>
              <w:left w:w="0" w:type="dxa"/>
              <w:bottom w:w="0" w:type="dxa"/>
              <w:right w:w="0" w:type="dxa"/>
            </w:tcMar>
            <w:vAlign w:val="center"/>
          </w:tcPr>
          <w:p>
            <w:pPr>
              <w:pStyle w:val="TableContents"/>
              <w:bidi w:val="0"/>
              <w:spacing w:before="0" w:after="283"/>
              <w:jc w:val="left"/>
            </w:pPr>
            <w:r>
              <w:t> </w:t>
            </w:r>
          </w:p>
        </w:tc>
      </w:tr>
      <w:t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001-39941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83-1381173</w:t>
            </w:r>
          </w:p>
        </w:tc>
      </w:tr>
      <w:t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jc w:val="center"/>
              <w:rPr>
                <w:rFonts w:ascii="Times New Roman" w:hAnsi="Times New Roman"/>
                <w:b/>
                <w:color w:val="000000"/>
                <w:sz w:val="16"/>
              </w:rPr>
            </w:pPr>
            <w:r>
              <w:rPr>
                <w:rFonts w:ascii="Times New Roman" w:hAnsi="Times New Roman"/>
                <w:b/>
                <w:color w:val="000000"/>
                <w:sz w:val="16"/>
              </w:rPr>
              <w:t>File Number)</w:t>
            </w:r>
          </w:p>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rFonts w:ascii="Times New Roman" w:hAnsi="Times New Roman"/>
          <w:b/>
          <w:color w:val="000000"/>
          <w:sz w:val="20"/>
        </w:rPr>
      </w:pPr>
      <w:r>
        <w:rPr>
          <w:rFonts w:ascii="Times New Roman" w:hAnsi="Times New Roman"/>
          <w:b/>
          <w:color w:val="000000"/>
          <w:sz w:val="20"/>
        </w:rPr>
        <w:t>188 East Blaine Street, Suite 350</w:t>
      </w:r>
    </w:p>
    <w:p>
      <w:pPr>
        <w:pStyle w:val="TextBody"/>
        <w:bidi w:val="0"/>
        <w:jc w:val="center"/>
        <w:rPr>
          <w:rFonts w:ascii="Times New Roman" w:hAnsi="Times New Roman"/>
          <w:sz w:val="20"/>
        </w:rPr>
      </w:pPr>
      <w:r>
        <w:rPr>
          <w:rFonts w:ascii="Times New Roman" w:hAnsi="Times New Roman"/>
          <w:b/>
          <w:color w:val="000000"/>
          <w:sz w:val="20"/>
        </w:rPr>
        <w:t>Seattle, Washington</w:t>
      </w:r>
      <w:r>
        <w:rPr>
          <w:rFonts w:ascii="Times New Roman" w:hAnsi="Times New Roman"/>
          <w:color w:val="000000"/>
          <w:sz w:val="20"/>
        </w:rPr>
        <w:t xml:space="preserve"> </w:t>
      </w:r>
      <w:r>
        <w:rPr>
          <w:rFonts w:ascii="Times New Roman" w:hAnsi="Times New Roman"/>
          <w:b/>
          <w:color w:val="000000"/>
          <w:sz w:val="20"/>
        </w:rPr>
        <w:t>98102</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(Address of principal executive offices, including Zip Code)</w:t>
      </w:r>
      <w:r>
        <w:rPr>
          <w:rFonts w:ascii="Times New Roman" w:hAnsi="Times New Roman"/>
          <w:color w:val="000000"/>
          <w:sz w:val="16"/>
        </w:rPr>
        <w:t xml:space="preserve"> </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(206) 701-7914</w:t>
      </w:r>
    </w:p>
    <w:p>
      <w:pPr>
        <w:pStyle w:val="TextBody"/>
        <w:bidi w:val="0"/>
        <w:jc w:val="center"/>
      </w:pPr>
      <w:r>
        <w:t> </w:t>
      </w:r>
    </w:p>
    <w:p>
      <w:pPr>
        <w:pStyle w:val="TextBody"/>
        <w:pBdr>
          <w:bottom w:val="single" w:sz="8" w:space="1" w:color="000000"/>
        </w:pBdr>
        <w:bidi w:val="0"/>
        <w:jc w:val="center"/>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pPr>
      <w:r>
        <w:t> </w:t>
      </w:r>
    </w:p>
    <w:tbl>
      <w:tblPr>
        <w:tblW w:w="9703" w:type="dxa"/>
        <w:jc w:val="left"/>
        <w:tblInd w:w="0" w:type="dxa"/>
        <w:tblLayout w:type="fixed"/>
        <w:tblCellMar>
          <w:top w:w="28" w:type="dxa"/>
          <w:left w:w="28" w:type="dxa"/>
          <w:bottom w:w="28" w:type="dxa"/>
          <w:right w:w="28" w:type="dxa"/>
        </w:tblCellMar>
      </w:tblPr>
      <w:tblGrid>
        <w:gridCol w:w="161"/>
        <w:gridCol w:w="316"/>
        <w:gridCol w:w="9226"/>
      </w:tblGrid>
      <w:t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pPr>
      <w:r>
        <w:t> </w:t>
      </w:r>
    </w:p>
    <w:p>
      <w:pPr>
        <w:pStyle w:val="TextBody"/>
        <w:pBdr>
          <w:bottom w:val="single" w:sz="6" w:space="1" w:color="000000"/>
        </w:pBdr>
        <w:bidi w:val="0"/>
        <w:jc w:val="left"/>
      </w:pPr>
      <w: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pPr>
      <w:r>
        <w:t> </w:t>
      </w:r>
    </w:p>
    <w:tbl>
      <w:tblPr>
        <w:tblW w:w="9205" w:type="dxa"/>
        <w:jc w:val="left"/>
        <w:tblInd w:w="0" w:type="dxa"/>
        <w:tblLayout w:type="fixed"/>
        <w:tblCellMar>
          <w:top w:w="28" w:type="dxa"/>
          <w:left w:w="28" w:type="dxa"/>
          <w:bottom w:w="28" w:type="dxa"/>
          <w:right w:w="28" w:type="dxa"/>
        </w:tblCellMar>
      </w:tblPr>
      <w:tblGrid>
        <w:gridCol w:w="3871"/>
        <w:gridCol w:w="146"/>
        <w:gridCol w:w="1561"/>
        <w:gridCol w:w="146"/>
        <w:gridCol w:w="3481"/>
      </w:tblGrid>
      <w:t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Stock Market LLC</w:t>
            </w:r>
          </w:p>
        </w:tc>
      </w:tr>
    </w:tbl>
    <w:p>
      <w:pPr>
        <w:pStyle w:val="TextBody"/>
        <w:pBdr>
          <w:bottom w:val="single" w:sz="6" w:space="1" w:color="808080"/>
        </w:pBdr>
        <w:bidi w:val="0"/>
        <w:jc w:val="center"/>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sz w:val="18"/>
        </w:rPr>
      </w:pPr>
      <w:r>
        <w:rPr>
          <w:rFonts w:ascii="Times New Roman" w:hAnsi="Times New Roman"/>
          <w:color w:val="000000"/>
          <w:sz w:val="20"/>
        </w:rPr>
        <w:t xml:space="preserve">Emerging growth company </w:t>
      </w:r>
      <w:r>
        <w:rPr>
          <w:rFonts w:ascii="Times New Roman" w:hAnsi="Times New Roman"/>
          <w:color w:val="000000"/>
          <w:sz w:val="18"/>
        </w:rPr>
        <w:t xml:space="preserve">☒ </w:t>
      </w:r>
    </w:p>
    <w:p>
      <w:pPr>
        <w:pStyle w:val="TextBody"/>
        <w:bidi w:val="0"/>
        <w:jc w:val="right"/>
      </w:pPr>
      <w: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4" w:space="1" w:color="000000"/>
        </w:pBdr>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5, 2026, Sana Biotechnology, Inc. (the “Company”) issued a press release announcing its financial results for the quarter ended September 30, 2026. A copy of the press release is attached hereto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pPr>
      <w: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c>
          <w:tcPr>
            <w:tcW w:w="10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pPr>
            <w:r>
              <w:t> </w:t>
            </w:r>
          </w:p>
        </w:tc>
      </w:tr>
      <w:t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pPr>
            <w:hyperlink w:anchor="sana-ex99_1.htm">
              <w:r>
                <w:rPr>
                  <w:rStyle w:val="InternetLink"/>
                  <w:rFonts w:ascii="Times New Roman" w:hAnsi="Times New Roman"/>
                  <w:color w:val="0000FF"/>
                  <w:sz w:val="20"/>
                  <w:u w:val="single"/>
                </w:rPr>
                <w:t>Press release of Sana Biotechnology, Inc. dated November 5, 2026</w:t>
              </w:r>
            </w:hyperlink>
          </w:p>
        </w:tc>
      </w:tr>
      <w:t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pPr>
      <w:r>
        <w:t> </w:t>
      </w:r>
    </w:p>
    <w:tbl>
      <w:tblPr>
        <w:tblW w:w="6648" w:type="dxa"/>
        <w:jc w:val="left"/>
        <w:tblInd w:w="0" w:type="dxa"/>
        <w:tblLayout w:type="fixed"/>
        <w:tblCellMar>
          <w:top w:w="28" w:type="dxa"/>
          <w:left w:w="28" w:type="dxa"/>
          <w:bottom w:w="28" w:type="dxa"/>
          <w:right w:w="28" w:type="dxa"/>
        </w:tblCellMar>
      </w:tblPr>
      <w:tblGrid>
        <w:gridCol w:w="2101"/>
        <w:gridCol w:w="406"/>
        <w:gridCol w:w="4141"/>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SANA BIOTECHNOLOGY, INC.</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Piper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Piper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414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16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 w:name="sana-ex99_1.htm"/>
      <w:bookmarkStart w:id="3" w:name="kssanaex99_1"/>
      <w:bookmarkEnd w:id="2"/>
      <w:bookmarkEnd w:id="3"/>
      <w:r>
        <w:rPr>
          <w:rFonts w:ascii="Times New Roman" w:hAnsi="Times New Roman"/>
          <w:b/>
          <w:color w:val="000000"/>
          <w:sz w:val="20"/>
        </w:rPr>
        <w:br/>
        <w:t>Exhibit 99.1</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Sana Biotechnology Reports Third Quarter 2026 Financial Results and Business Updates</w:t>
      </w:r>
    </w:p>
    <w:p>
      <w:pPr>
        <w:pStyle w:val="TextBody"/>
        <w:bidi w:val="0"/>
        <w:jc w:val="center"/>
      </w:pPr>
      <w:r>
        <w:t> </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toward starting SC451 Phase 1/2 trial in type 1 diabetes</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toward starting clinical study for SG293 in non-Hodgkin lymphoma</w:t>
      </w:r>
    </w:p>
    <w:p>
      <w:pPr>
        <w:pStyle w:val="TextBody"/>
        <w:bidi w:val="0"/>
        <w:jc w:val="center"/>
        <w:rPr>
          <w:rFonts w:ascii="Times New Roman" w:hAnsi="Times New Roman"/>
          <w:i/>
          <w:color w:val="000000"/>
          <w:sz w:val="20"/>
        </w:rPr>
      </w:pPr>
      <w:r>
        <w:rPr>
          <w:rFonts w:ascii="Times New Roman" w:hAnsi="Times New Roman"/>
          <w:i/>
          <w:color w:val="000000"/>
          <w:sz w:val="20"/>
        </w:rPr>
        <w:t>Announced follow-on publication in The New England Journal of Medicine (NEJM) highlighting long-term data and durability of hypoimmune-modified islet cell transplantation with UP421 without immunosuppression in type 1 diabetes</w:t>
      </w:r>
    </w:p>
    <w:p>
      <w:pPr>
        <w:pStyle w:val="TextBody"/>
        <w:bidi w:val="0"/>
        <w:jc w:val="center"/>
        <w:rPr>
          <w:rFonts w:ascii="Times New Roman" w:hAnsi="Times New Roman"/>
          <w:i/>
          <w:color w:val="000000"/>
          <w:sz w:val="20"/>
        </w:rPr>
      </w:pPr>
      <w:r>
        <w:rPr>
          <w:rFonts w:ascii="Times New Roman" w:hAnsi="Times New Roman"/>
          <w:i/>
          <w:color w:val="000000"/>
          <w:sz w:val="20"/>
        </w:rPr>
        <w:t>Advancing strategic collaboration with Mayo Clinic, focused on improving care in type 1 diabetes and accelerating development of SC451</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with SG227, a CD8-targeted fusosome that delivers to CD8+ T cells the genetic material to make BCMA-directed CAR T cells, as a potential treatment for patients with multiple myeloma; expect to begin clinical study as early as 2027</w:t>
      </w:r>
    </w:p>
    <w:p>
      <w:pPr>
        <w:pStyle w:val="TextBody"/>
        <w:bidi w:val="0"/>
        <w:jc w:val="center"/>
        <w:rPr>
          <w:rFonts w:ascii="Times New Roman" w:hAnsi="Times New Roman"/>
          <w:i/>
          <w:color w:val="000000"/>
          <w:sz w:val="20"/>
        </w:rPr>
      </w:pPr>
      <w:r>
        <w:rPr>
          <w:rFonts w:ascii="Times New Roman" w:hAnsi="Times New Roman"/>
          <w:i/>
          <w:color w:val="000000"/>
          <w:sz w:val="20"/>
        </w:rPr>
        <w:t>Q3 2026 cash position of $121.7 million; expected cash runway into mid-2027</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SEATTLE — November 5, 2026 — Sana Biotechnology, Inc. (NASDAQ: SANA), a company focused on creating and delivering engineered cells as medicines, today reported financial results and business highlights for the third quarter 2026.</w:t>
      </w:r>
    </w:p>
    <w:p>
      <w:pPr>
        <w:pStyle w:val="TextBody"/>
        <w:bidi w:val="0"/>
        <w:jc w:val="left"/>
      </w:pPr>
      <w:r>
        <w:t> </w:t>
      </w:r>
    </w:p>
    <w:p>
      <w:pPr>
        <w:pStyle w:val="TextBody"/>
        <w:bidi w:val="0"/>
        <w:jc w:val="left"/>
        <w:rPr>
          <w:color w:val="000000"/>
        </w:rPr>
      </w:pPr>
      <w:r>
        <w:rPr>
          <w:color w:val="000000"/>
        </w:rPr>
        <w:t>“</w:t>
      </w:r>
      <w:r>
        <w:rPr>
          <w:rFonts w:ascii="Times New Roman" w:hAnsi="Times New Roman"/>
          <w:color w:val="000000"/>
          <w:sz w:val="20"/>
        </w:rPr>
        <w:t>We continue to make meaningful progress toward initiating clinical studies of SC451 later this year and SG293 in 1Q 2027,” said Steve Harr, Sana’s President and Chief Executive Officer. “We aim to share data from both of these programs in 2027 and anticipate both have the potential for relatively rapid proof of concept. In particular, SC451 in type 1 diabetes may provide a rapid signal, similar to what was seen with UP421, on whether the therapy can evade immune detection and function in patients.”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Corporate Highlights</w:t>
      </w:r>
    </w:p>
    <w:p>
      <w:pPr>
        <w:pStyle w:val="TextBody"/>
        <w:bidi w:val="0"/>
        <w:jc w:val="left"/>
        <w:rPr>
          <w:rFonts w:ascii="Times New Roman" w:hAnsi="Times New Roman"/>
          <w:sz w:val="20"/>
        </w:rPr>
      </w:pPr>
      <w:r>
        <w:rPr>
          <w:rFonts w:ascii="Times New Roman" w:hAnsi="Times New Roman"/>
          <w:b/>
          <w:color w:val="000000"/>
          <w:sz w:val="20"/>
        </w:rPr>
        <w:t>Continued progress toward beginning clinical trials for SC451 and SG293</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SC451, an O-negative, hypoimmune (HIP)-modified, iPSC-derived pancreatic islet cell therapy which uses the same HIP gene modifications as UP421, is being developed as a one-time treatment for patients with type 1 diabetes with a goal of long-term normal blood glucose without the need for any insulin therapy or immunosuppression. Sana expects to file an investigational new drug application (IND) and begin a Phase 1/2 clinical trial for SC451 as early as this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SG293 is a CD8-targeted fusosome that delivers the genetic material to make CD19-directed CAR T cells. SG293 has been designed to minimize potential toxicities related to </w:t>
      </w:r>
      <w:r>
        <w:rPr>
          <w:rFonts w:ascii="Times New Roman" w:hAnsi="Times New Roman"/>
          <w:i/>
          <w:color w:val="000000"/>
          <w:sz w:val="20"/>
        </w:rPr>
        <w:t>in vivo</w:t>
      </w:r>
      <w:r>
        <w:rPr>
          <w:rFonts w:ascii="Times New Roman" w:hAnsi="Times New Roman"/>
          <w:color w:val="000000"/>
          <w:sz w:val="20"/>
        </w:rPr>
        <w:t xml:space="preserve"> CAR T cells, including peri-infusion reactions and off-target delivery to tissues such as the liver. Preclinical data presented at the American Society of Gene and Cell Therapy (ASGCT) 2026 Annual Meeting demonstrate that a SG293 surrogate, which is active in non-human primates, achieves cell-specific delivery and deep B cell depletion – as measured by depletion in circulating and lymph node B cells as well as a phenotypic reset when B cells return – in non-human primates without the use of any lymphodepleting chemotherapy. Sana has the potential to share first-in-human data for SG293 in non-Hodgkin lymphoma as early as the first half of 2027. If successful, the company intends to expand clinical development into B cell-mediated autoimmune diseases as well.</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Shared updated, positive results from an investigator-sponsored, first-in-human study transplanting UP421, an allogeneic primary islet cell therapy engineered with HIP technology, into a patient with type 1 diabetes without the use of any immunosuppression.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UP421 is a primary human HIP-modified pancreatic islet cell therapy for patients with type 1 diabetes. The goal of this investigator-sponsored trial (IST) is to understand safety, immune evasion, islet cell survival, and beta cell function, as measured by C-peptide production, of HIP-modified pancreatic islet cells transplanted into a type 1 diabetes patient without the use of any immunosuppression. The trial is being conducted under a clinical trial authorization at Uppsala University Hospital with Dr. Per-Ola Carlsson as the principal investigator.</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the study through 14 months after cell transplantation demonstrated the survival and function of pancreatic beta cells in a patient as measured by the presence of circulating C-peptide, a biomarker indicating that transplanted beta cells are producing insulin. C-peptide levels also increased with mixed meal tolerance tests (MMTT) performed over the course of the study, consistent with insulin secretion in response to a meal. Fasting and MMTT-stimulated C-peptide levels at month 14 were comparable to those observed in the first six months of the study. PET-MRI scanning performed at week 12 and again at week 52 demonstrated islet cells at the transplant site in the forearm. The study has identified no safety issues, and the HIP-modified islet cells have evaded immune detection.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Announced that </w:t>
      </w:r>
      <w:r>
        <w:rPr>
          <w:rFonts w:ascii="Times New Roman" w:hAnsi="Times New Roman"/>
          <w:i/>
          <w:color w:val="000000"/>
          <w:sz w:val="20"/>
        </w:rPr>
        <w:t>The</w:t>
      </w:r>
      <w:r>
        <w:rPr>
          <w:rFonts w:ascii="Times New Roman" w:hAnsi="Times New Roman"/>
          <w:color w:val="000000"/>
          <w:sz w:val="20"/>
        </w:rPr>
        <w:t xml:space="preserve"> </w:t>
      </w:r>
      <w:r>
        <w:rPr>
          <w:rFonts w:ascii="Times New Roman" w:hAnsi="Times New Roman"/>
          <w:i/>
          <w:color w:val="000000"/>
          <w:sz w:val="20"/>
        </w:rPr>
        <w:t>New England Journal of Medicine</w:t>
      </w:r>
      <w:r>
        <w:rPr>
          <w:rFonts w:ascii="Times New Roman" w:hAnsi="Times New Roman"/>
          <w:color w:val="000000"/>
          <w:sz w:val="20"/>
        </w:rPr>
        <w:t xml:space="preserve"> published a peer-reviewed </w:t>
      </w:r>
      <w:r>
        <w:rPr>
          <w:rFonts w:ascii="Times New Roman" w:hAnsi="Times New Roman"/>
          <w:i/>
          <w:color w:val="000000"/>
          <w:sz w:val="20"/>
        </w:rPr>
        <w:t>Letter to the Editor</w:t>
      </w:r>
      <w:r>
        <w:rPr>
          <w:rFonts w:ascii="Times New Roman" w:hAnsi="Times New Roman"/>
          <w:color w:val="000000"/>
          <w:sz w:val="20"/>
        </w:rPr>
        <w:t xml:space="preserve"> titled “Long-Term Survival of Hypoimmune Allogeneic Islets without Immunosuppression” (DOI: 10.1056/NEJMc2604408), which discusses 14-month results from this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14-month data from the study were presented at the European Association for the Study of Diabetes (EASD) Annual Meeting 2026.</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Advanced strategic collaboration with Mayo Clinic for the development of SC451, a HIP-modified, induced pluripotent stem cell (iPSC)-derived pancreatic islet cell therapy for type 1 diabetes.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purpose of the collaboration is to draw on Mayo Clinic’s multidisciplinary expertise to accelerate the development, validation, and standardization of protocols and processes for SC451, supporting safe, scalable, and consistent delivery across diverse clinical environments.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Advanced preclinical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SG227, a CD8-targeted fusosome that delivers the genetic material to make BCMA-directed CAR T cells, is being developed as a potential treatment for patients with multiple myeloma. SG227 delivers a BCMA CAR that has been validated in the autologous CAR T setting for patients with multiple myeloma in a product that is currently approved in China. Sana is preparing to begin clinical testing as early as 2027, contingent upon the early clinical profile of SG293.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Third Quarter 2026 Financial Results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GAAP Results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Cash Position</w:t>
      </w:r>
      <w:r>
        <w:rPr>
          <w:rFonts w:ascii="Times New Roman" w:hAnsi="Times New Roman"/>
          <w:color w:val="000000"/>
          <w:sz w:val="20"/>
        </w:rPr>
        <w:t>: Cash, cash equivalents, and marketable securities as of September 30, 2026 were $121.7 million compared to $138.4 million as of December 31, 2025. The decrease of $16.7 million was primarily due to cash used in operations of $108.9 million and cash used for the purchase of property and equipment of $2.7 million, partially offset by net proceeds from equity financings of $93.3 million.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For the three and nine months ended September 30, 2026, research and development expenses, inclusive of non-cash expenses, were $33.9 million and $93.4 million, respectively, compared to $30.1 million and $97.1 million for the same periods in 2025. The $3.8 million increase for the three months ended September 30, 2026 compared to the same period in 2025 was primarily due to higher third-party manufacturing costs at contract development and manufacturing organizations (CDMOs) for our SC451 and SG293 programs and higher laboratory costs related to our SC451 program. These increases were partially offset by third-party manufacturing costs at CDMOs and clinical trial costs associated with the suspended allogeneic CAR T programs incurred in the prior-year period that did not recur in 2026. The $3.7 million decrease for the nine months ended September 30, 2026 compared to the same period in 2025 was primarily due to lower personnel-related expenses, including non-cash stock-based compensation, lower facility and other allocated costs, and third-party manufacturing costs at CDMOs associated with the suspended allogeneic CAR T programs incurred in the prior-year period that did not recur in 2026. These decreases were partially offset by higher laboratory costs related to our SC451 program and higher third-party manufacturing costs at CDMOs for our SC451 and SG293 programs. Research and development expenses include non-cash stock-based compensation of $3.0 million and $9.3 million for the three and nine months ended September 30, 2026, respectively, compared to $3.2 million and $12.0 million for the same periods in 2025.</w:t>
      </w:r>
    </w:p>
    <w:p>
      <w:pPr>
        <w:pStyle w:val="HorizontalLine"/>
        <w:pBdr>
          <w:bottom w:val="double" w:sz="2" w:space="0" w:color="808080"/>
        </w:pBdr>
        <w:bidi w:val="0"/>
        <w:spacing w:before="0" w:after="283"/>
        <w:jc w:val="left"/>
      </w:pPr>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Research and Development Related Success Payments and Contingent Consideration</w:t>
      </w:r>
      <w:r>
        <w:rPr>
          <w:rFonts w:ascii="Times New Roman" w:hAnsi="Times New Roman"/>
          <w:color w:val="000000"/>
          <w:sz w:val="20"/>
        </w:rPr>
        <w:t>: For the three and nine months ended September 30, 2026, Sana recognized non-cash gains of $63.4 million and $31.0 million, respectively, compared to non-cash expenses of $3.1 million and $15.3 million for the same periods in 2025, related to changes in the estimated fair value of the success payment liabilities and contingent consideration in aggregate. Of the gains recognized during the three and nine months ended September 30, 2026, $55.5 million and $28.4 million, respectively, related to changes in the estimated fair value of the Cobalt contingent consideration (Cobalt Contingent Consideration), primarily reflecting the impact of the August 2026 amendment to the Cobalt acquisition agreement. The fair value of these potential liabilities may fluctuate significantly based on changes in the timing and probability of achieving specified development milestones, the estimated amount, timing, and probability of potential payments to Sana from business development transactions involving the fusogen technology, and Sana’s market capitalization and stock price.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General and administrative expenses for the three and nine months ended September 30, 2026, inclusive of non-cash expenses, were $10.9 million and $33.2 million, respectively, compared to $10.3 million and $32.1 million for the same periods in 2025. The increases for each of the three and nine months ended September 30, 2026 compared to the same periods in 2025 were primarily due to higher facility and other allocated costs. General and administrative expenses include non-cash stock-based compensation of $2.3 million and $7.0 million for the three and nine months ended September 30, 2026, respectively, compared to $2.3 million and $7.1 million for the same periods in 2025.</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For the nine months ended September 30, 2025, non-cash impairment of long-lived assets was $44.6 million. There was no impairment of long-lived assets for the three and nine months ended September 30, 2026. The non-cash impairment in 2025 was primarily related to Sana’s manufacturing facility in Bothell, Washington and certain laboratory and office space in Seattle, Washington. In the second quarter of 2025, because of increased availability of manufacturing capacity at third-party CDMOs for cell and gene therapy products, together with progress in understanding our near-term manufacturing needs, we determined that CDMOs could meet our manufacturing requirements. Accordingly, we suspended further build-out of our internal manufacturing capabilities and continue to rely on CDMOs to meet our manufacturing needs at present.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Net Income (Loss)</w:t>
      </w:r>
      <w:r>
        <w:rPr>
          <w:rFonts w:ascii="Times New Roman" w:hAnsi="Times New Roman"/>
          <w:color w:val="000000"/>
          <w:sz w:val="20"/>
        </w:rPr>
        <w:t>: Net income for the three months ended September 30, 2026 was $20.4 million, or $0.07 per share, and net loss for the nine months ended September 30, 2026 was $90.4 million, or $0.31 per share, compared to net losses of $42.2 million, or $0.16 per share, and $185.3 million, or $0.75 per share, for the same periods in 2025.</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Non-GAAP Operating Cash Burn: </w:t>
      </w:r>
      <w:r>
        <w:rPr>
          <w:rFonts w:ascii="Times New Roman" w:hAnsi="Times New Roman"/>
          <w:color w:val="000000"/>
          <w:sz w:val="20"/>
        </w:rPr>
        <w:t>Non-GAAP operating cash burn for the nine months ended September 30, 2026 was $103.4 million compared to $108.0 million for the same period in 2025. Non-GAAP operating cash burn represents the decrease in cash, cash equivalents, and marketable securities, adjusted to exclude cash inflows from financing activities, costs related to portfolio prioritizations, and purchases of property and equipment.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sz w:val="20"/>
        </w:rPr>
      </w:pPr>
      <w:r>
        <w:rPr>
          <w:rFonts w:ascii="Times New Roman" w:hAnsi="Times New Roman"/>
          <w:b/>
          <w:color w:val="000000"/>
          <w:sz w:val="20"/>
        </w:rPr>
        <w:t>Non-GAAP Net Loss</w:t>
      </w:r>
      <w:r>
        <w:rPr>
          <w:rFonts w:ascii="Times New Roman" w:hAnsi="Times New Roman"/>
          <w:color w:val="000000"/>
          <w:sz w:val="20"/>
        </w:rPr>
        <w:t>: Non-GAAP net loss for the three and nine months ended September 30, 2026 was $43.0 million, or $0.14 per share, and $121.5 million, or $0.41 per share, respectively, compared to $39.0 million, or $0.15 per share, and $125.4 million, or $0.51 per share, for the same periods in 2025. Non-GAAP net loss excludes non-cash expenses and gains related to the change in the estimated fair value of contingent consideration and success payment liabilities and non-cash impairment losses recorded in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discussion of non-GAAP measures, including a reconciliation of GAAP and non-GAAP measures, is presented below under “Non-GAAP Financial Measures.”</w:t>
      </w:r>
    </w:p>
    <w:p>
      <w:pPr>
        <w:pStyle w:val="HorizontalLine"/>
        <w:pBdr>
          <w:bottom w:val="double" w:sz="2" w:space="0" w:color="808080"/>
        </w:pBdr>
        <w:bidi w:val="0"/>
        <w:spacing w:before="0" w:after="283"/>
        <w:jc w:val="left"/>
      </w:p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About Sana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Sana Biotechnology, Inc. is focused on creating and delivering engineered cells as medicines for patients. We share a vision of repairing and controlling genes, replacing missing or damaged cells, and making our therapies broadly available to patients. We are a passionate group of people working together to create an enduring company that changes how the world treats disease. Sana has operations in Seattle, WA, Cambridge, MA, and South San Francisco, CA.</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sz w:val="20"/>
        </w:rPr>
      </w:pPr>
      <w:r>
        <w:rPr>
          <w:rFonts w:ascii="Times New Roman" w:hAnsi="Times New Roman"/>
          <w:color w:val="000000"/>
          <w:sz w:val="20"/>
        </w:rPr>
        <w:t xml:space="preserve">This press release contains forward-looking statements about Sana Biotechnology, Inc. (the “Company,” “we,” “us,” or “our”) within the meaning of the federal securities laws, including those related to the Company’s vision, progress, and business plans; expectations for its development programs, product candidates, and technology platforms, including its preclinical, clinical, and regulatory development plans and timing expectations, including with respect to the substance and timing of potential INDs, the commencement of clinical trials and sharing of clinical data, and potential indications for and the potential impact and benefits of its platforms and product candidates; the potential benefits of, plans for, and activity under the Company’s strategic collaboration with Mayo Clinic; the potential ability for SC451 to be a one-time treatment for patients with type 1 diabetes that achieves long-term normal blood glucose without insulin therapy or immunosuppression; the potential ability of SG293 to minimize potential toxicities related to </w:t>
      </w:r>
      <w:r>
        <w:rPr>
          <w:rFonts w:ascii="Times New Roman" w:hAnsi="Times New Roman"/>
          <w:i/>
          <w:color w:val="000000"/>
          <w:sz w:val="20"/>
        </w:rPr>
        <w:t xml:space="preserve">in vivo </w:t>
      </w:r>
      <w:r>
        <w:rPr>
          <w:rFonts w:ascii="Times New Roman" w:hAnsi="Times New Roman"/>
          <w:color w:val="000000"/>
          <w:sz w:val="20"/>
        </w:rPr>
        <w:t>CAR T cells; timing and other expectations for, and the potential significance and impact of data from, preclinical studies and clinical trials of the Company’s product candidates and technologies, including future studies and trials, and an IST utilizing HIP-modified primary pancreatic islet cells; the potential ability of SC451 and SG293 to demonstrate rapid clinical proof of concept, including a rapid signal of immune detection and function for SC451; expectations regarding the Company’s cash runway; and statements made by the Company’s President and Chief Executive Officer.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risks inherent in drug development such as those associated with the initiation, cost, timing, progress, and results of the Company’s current and future research and development programs and preclinical and clinical trials, including that the timing of development activities, including IND submissions and initiation of clinical trials, is subject to change, IND acceptance is subject to the discretion of the U.S. Food and Drug Administration, acceptance of an IND and initiation of a clinical trial are not predictive of clinical trial results or whether the Company will successfully enroll or dose patients, preclinical data may not be predictive of clinical trial results, and clinical results from one product candidate may not be predictive of clinical results from another product candidate; the risk that the collaboration with Mayo Clinic may not achieve its anticipated benefits; and risks associated with economic, market, and social conditions and disruptions, which could cause delays in Sana’s business plans, impede Sana’s access to additional capital, and impede the clinical development of its product candidates, among other things. For a detailed discussion of the risk factors that could affect the Company’s actual results, please refer to the risk factors identified in the Company’s Securities and Exchange Commission (SEC) reports, including but not limited to its Quarterly Report on Form 10-Q dated November 5, 2026. Except as required by law, the Company undertakes no obligation to update publicly any forward-looking statements for any reason.</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Investor Relations &amp; Media:</w:t>
      </w:r>
    </w:p>
    <w:p>
      <w:pPr>
        <w:pStyle w:val="TextBody"/>
        <w:bidi w:val="0"/>
        <w:jc w:val="left"/>
        <w:rPr>
          <w:rFonts w:ascii="Times New Roman" w:hAnsi="Times New Roman"/>
          <w:color w:val="000000"/>
          <w:sz w:val="20"/>
        </w:rPr>
      </w:pPr>
      <w:r>
        <w:rPr>
          <w:rFonts w:ascii="Times New Roman" w:hAnsi="Times New Roman"/>
          <w:color w:val="000000"/>
          <w:sz w:val="20"/>
        </w:rPr>
        <w:t>Nicole Keith</w:t>
      </w:r>
    </w:p>
    <w:p>
      <w:pPr>
        <w:pStyle w:val="TextBody"/>
        <w:bidi w:val="0"/>
        <w:jc w:val="left"/>
        <w:rPr>
          <w:rFonts w:ascii="Times New Roman" w:hAnsi="Times New Roman"/>
          <w:color w:val="000000"/>
          <w:sz w:val="20"/>
        </w:rPr>
      </w:pPr>
      <w:r>
        <w:rPr>
          <w:rFonts w:ascii="Times New Roman" w:hAnsi="Times New Roman"/>
          <w:color w:val="000000"/>
          <w:sz w:val="20"/>
        </w:rPr>
        <w:t>investor.relations@sana.com</w:t>
      </w:r>
    </w:p>
    <w:p>
      <w:pPr>
        <w:pStyle w:val="TextBody"/>
        <w:bidi w:val="0"/>
        <w:jc w:val="left"/>
        <w:rPr>
          <w:rFonts w:ascii="Times New Roman" w:hAnsi="Times New Roman"/>
          <w:color w:val="000000"/>
          <w:sz w:val="20"/>
        </w:rPr>
      </w:pPr>
      <w:r>
        <w:rPr>
          <w:rFonts w:ascii="Times New Roman" w:hAnsi="Times New Roman"/>
          <w:color w:val="000000"/>
          <w:sz w:val="20"/>
        </w:rPr>
        <w:t>media@sana.com</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Selected Consolidated Balance Sheet Data</w:t>
      </w:r>
    </w:p>
    <w:p>
      <w:pPr>
        <w:pStyle w:val="TextBody"/>
        <w:bidi w:val="0"/>
        <w:jc w:val="left"/>
      </w:pPr>
      <w:r>
        <w:t> </w:t>
      </w:r>
    </w:p>
    <w:tbl>
      <w:tblPr>
        <w:tblW w:w="7985" w:type="dxa"/>
        <w:jc w:val="left"/>
        <w:tblInd w:w="0" w:type="dxa"/>
        <w:tblLayout w:type="fixed"/>
        <w:tblCellMar>
          <w:top w:w="28" w:type="dxa"/>
          <w:left w:w="28" w:type="dxa"/>
          <w:bottom w:w="28" w:type="dxa"/>
          <w:right w:w="28" w:type="dxa"/>
        </w:tblCellMar>
      </w:tblPr>
      <w:tblGrid>
        <w:gridCol w:w="4111"/>
        <w:gridCol w:w="346"/>
        <w:gridCol w:w="328"/>
        <w:gridCol w:w="1217"/>
        <w:gridCol w:w="146"/>
        <w:gridCol w:w="146"/>
        <w:gridCol w:w="319"/>
        <w:gridCol w:w="1181"/>
        <w:gridCol w:w="191"/>
      </w:tblGrid>
      <w:tr>
        <w:tc>
          <w:tcPr>
            <w:tcW w:w="4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Operations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04"/>
        <w:gridCol w:w="146"/>
        <w:gridCol w:w="227"/>
        <w:gridCol w:w="844"/>
        <w:gridCol w:w="179"/>
        <w:gridCol w:w="157"/>
        <w:gridCol w:w="227"/>
        <w:gridCol w:w="844"/>
        <w:gridCol w:w="166"/>
        <w:gridCol w:w="146"/>
        <w:gridCol w:w="221"/>
        <w:gridCol w:w="818"/>
        <w:gridCol w:w="173"/>
        <w:gridCol w:w="152"/>
        <w:gridCol w:w="221"/>
        <w:gridCol w:w="881"/>
        <w:gridCol w:w="599"/>
      </w:tblGrid>
      <w:tr>
        <w:tc>
          <w:tcPr>
            <w:tcW w:w="4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5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97,056</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32,110</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307,002</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308,790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Changes in the Estimated Fair Value of Success Payments and Contingent Consideration</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29"/>
        <w:gridCol w:w="146"/>
        <w:gridCol w:w="265"/>
        <w:gridCol w:w="850"/>
        <w:gridCol w:w="166"/>
        <w:gridCol w:w="146"/>
        <w:gridCol w:w="255"/>
        <w:gridCol w:w="948"/>
        <w:gridCol w:w="166"/>
        <w:gridCol w:w="146"/>
        <w:gridCol w:w="635"/>
        <w:gridCol w:w="2359"/>
        <w:gridCol w:w="394"/>
      </w:tblGrid>
      <w:tr>
        <w:tc>
          <w:tcPr>
            <w:tcW w:w="3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37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Success Payment</w:t>
              <w:br/>
              <w:t>Liability</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Contingent</w:t>
              <w:br/>
              <w:t>Consideration</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Success Payment Liability and Contingent Consideration</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3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2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December 31, 2025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3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9"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394"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March 31,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50"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35"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359"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151,389</w:t>
            </w:r>
          </w:p>
        </w:tc>
        <w:tc>
          <w:tcPr>
            <w:tcW w:w="394"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June 30,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50"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150,825</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35"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359"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175,302</w:t>
            </w:r>
          </w:p>
        </w:tc>
        <w:tc>
          <w:tcPr>
            <w:tcW w:w="394"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September 30,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25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95,357</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63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9"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111,923</w:t>
            </w:r>
          </w:p>
        </w:tc>
        <w:tc>
          <w:tcPr>
            <w:tcW w:w="39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r>
      <w:t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change in fair value for the nine months ended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Cobalt Biomedicine, Inc. (Cobalt) and the President and Fellows of Harvard College (Harvard) are entitled to success payments pursuant to the terms and conditions of their respective agreements. The success payments are recorded at fair value and remeasured at each reporting date, with changes in the estimated fair value recognized in research and development related success payments and contingent consideration in the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Cobalt is entitled to contingent consideration upon the achievement of certain specified development milestones and Sana’s receipt of payments from business development transactions involving the fusogen technology, pursuant to the terms and conditions of the Cobalt acquisition agreement, which was amended in August 2026. The amendment restructured the Cobalt Contingent Consideration to (i) expand the Cobalt Contingent Consideration triggers to include both the achievement of specified development milestones and Sana’s receipt of payments from business development transactions involving the fusogen technology and (ii) reduce or defer the payment of certain milestone amounts until a change of control of Sana. Contingent consideration is recorded at fair value and remeasured at each reporting date, with changes to the estimated fair value recognized in research and development related success payments and contingent consideration in the statement of operations.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supplement the financial results presented in accordance with generally accepted accounting principles in the United States (GAAP), Sana uses certain non-GAAP financial measures to evaluate its business. Sana’s management believes that these non-GAAP financial measures are helpful in understanding Sana’s financial performance and potential future results, as well as providing comparability to peer companies and period over period. In particular, Sana’s management utilizes non-GAAP operating cash burn, non-GAAP research and development expense, non-GAAP general and administrative expense, and non-GAAP net loss and net loss per share. Sana believes the presentation of these non-GAAP measures provides management and investors greater visibility into the company’s actual ongoing costs to operate its business, including actual research and development costs unaffected by non-cash valuation changes and certain one-time expenses for acquiring technology, as well as facilitating a more meaningful comparison of period-to-period activity. Sana excludes these items because they are highly variable from period to period and, in respect of the non-cash expenses, provide investors with insight into the actual cash investment in the development of its therapeutic programs and platform technologies.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are not meant to be considered in isolation or as a substitute for comparable GAAP measures and should be read in conjunction with Sana’s financial statements prepared in accordance with GAAP. These non-GAAP measures differ from GAAP measures with the same captions, may be different from non-GAAP financial measures with the same or similar captions that are used by other companies, and do not reflect a comprehensive system of accounting. Sana’s management uses these supplemental non-GAAP financial measures internally to understand, manage, and evaluate Sana’s business and make operating decisions. In addition, Sana’s management believes that the presentation of these non-GAAP financial measures is useful to investors because they enhance the ability of investors to compare Sana’s results from period to period and allow for greater transparency with respect to key financial metrics Sana uses in making operating decisions. The following are reconciliations of GAAP to non-GAAP financial measures:</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sz w:val="20"/>
        </w:rPr>
      </w:pPr>
      <w:r>
        <w:rPr>
          <w:rFonts w:ascii="Times New Roman" w:hAnsi="Times New Roman"/>
          <w:b/>
          <w:color w:val="000000"/>
          <w:sz w:val="20"/>
        </w:rPr>
        <w:t>Unaudited Reconciliation of Change in Cash, Cash Equivalents, and Marketable Securities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Non-GAAP Operating Cash Burn</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070"/>
        <w:gridCol w:w="146"/>
        <w:gridCol w:w="224"/>
        <w:gridCol w:w="897"/>
        <w:gridCol w:w="176"/>
        <w:gridCol w:w="155"/>
        <w:gridCol w:w="224"/>
        <w:gridCol w:w="897"/>
        <w:gridCol w:w="416"/>
      </w:tblGrid>
      <w:tr>
        <w:tc>
          <w:tcPr>
            <w:tcW w:w="7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153,054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to purchase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marketable securities, excluding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personnel-related costs incurred in connection with portfolio prioritization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partial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burn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(103,449</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(108,040</w:t>
            </w:r>
          </w:p>
        </w:tc>
        <w:tc>
          <w:tcPr>
            <w:tcW w:w="4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Reconciliation of GAAP to Non-GAAP Net Loss and Net Loss Per Share</w:t>
      </w:r>
    </w:p>
    <w:tbl>
      <w:tblPr>
        <w:tblW w:w="10205" w:type="dxa"/>
        <w:jc w:val="left"/>
        <w:tblInd w:w="0" w:type="dxa"/>
        <w:tblLayout w:type="fixed"/>
        <w:tblCellMar>
          <w:top w:w="28" w:type="dxa"/>
          <w:left w:w="28" w:type="dxa"/>
          <w:bottom w:w="28" w:type="dxa"/>
          <w:right w:w="28" w:type="dxa"/>
        </w:tblCellMar>
      </w:tblPr>
      <w:tblGrid>
        <w:gridCol w:w="3301"/>
        <w:gridCol w:w="346"/>
        <w:gridCol w:w="211"/>
        <w:gridCol w:w="781"/>
        <w:gridCol w:w="346"/>
        <w:gridCol w:w="346"/>
        <w:gridCol w:w="211"/>
        <w:gridCol w:w="781"/>
        <w:gridCol w:w="346"/>
        <w:gridCol w:w="346"/>
        <w:gridCol w:w="211"/>
        <w:gridCol w:w="841"/>
        <w:gridCol w:w="346"/>
        <w:gridCol w:w="346"/>
        <w:gridCol w:w="211"/>
        <w:gridCol w:w="841"/>
        <w:gridCol w:w="394"/>
      </w:tblGrid>
      <w:tr>
        <w:tc>
          <w:tcPr>
            <w:tcW w:w="33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Change in the estimated fair value of the success payment liabilities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Change in the estimated fair value of contingent consideration</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(39,028</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(121,477</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(125,387</w:t>
            </w:r>
          </w:p>
        </w:tc>
        <w:tc>
          <w:tcPr>
            <w:tcW w:w="3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Change in the estimated fair value of the success payment liabilities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Change in the estimated fair value of contingent consideration</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For the three months ended September 30, 2026, the gain related to the Cobalt success payment liability was $7.6 million compared to an expense of $4.8 million for the same period in 2025. For the nine months ended September 30, 2026, the gain related to the Cobalt success payment liability was $2.3 million compared to an expense of $8.5 million for the same period in 2025. For the three months ended September 30, 2026, the gain related to the Harvard success payment liability was $0.3 million compared to an expense of $0.3 million for the same period in 2025. For the nine months ended September 30, 2026, the gain related to the Harvard success payment liability was $0.4 million compared to an expense of $0.7 million for the same period in 2025.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Contingent consideration relates to the acquisition of Cobalt.</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4465</Words>
  <Characters>25343</Characters>
  <CharactersWithSpaces>29950</CharactersWithSpaces>
  <Paragraphs>1029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