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28"/>
          <w:szCs w:val="28"/>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-184150</wp:posOffset>
            </wp:positionV>
            <wp:extent cx="7149465"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9465" cy="7620"/>
                    </a:xfrm>
                    <a:prstGeom prst="rect">
                      <a:avLst/>
                    </a:prstGeom>
                    <a:noFill/>
                  </pic:spPr>
                </pic:pic>
              </a:graphicData>
            </a:graphic>
          </wp:anchor>
        </w:drawing>
      </w:r>
    </w:p>
    <w:p>
      <w:pPr>
        <w:spacing w:after="0" w:line="1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jc w:val="center"/>
        <w:ind w:right="20"/>
        <w:spacing w:after="0"/>
        <w:rPr>
          <w:sz w:val="20"/>
          <w:szCs w:val="20"/>
          <w:color w:val="auto"/>
        </w:rPr>
      </w:pPr>
      <w:r>
        <w:rPr>
          <w:rFonts w:ascii="Times New Roman" w:cs="Times New Roman" w:eastAsia="Times New Roman" w:hAnsi="Times New Roman"/>
          <w:sz w:val="19"/>
          <w:szCs w:val="1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133350</wp:posOffset>
            </wp:positionV>
            <wp:extent cx="714946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9465" cy="7620"/>
                    </a:xfrm>
                    <a:prstGeom prst="rect">
                      <a:avLst/>
                    </a:prstGeom>
                    <a:noFill/>
                  </pic:spPr>
                </pic:pic>
              </a:graphicData>
            </a:graphic>
          </wp:anchor>
        </w:drawing>
      </w:r>
    </w:p>
    <w:p>
      <w:pPr>
        <w:spacing w:after="0" w:line="34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8"/>
          <w:szCs w:val="28"/>
          <w:b w:val="1"/>
          <w:bCs w:val="1"/>
          <w:color w:val="auto"/>
        </w:rPr>
        <w:t>FORM 8-K</w:t>
      </w:r>
    </w:p>
    <w:p>
      <w:pPr>
        <w:spacing w:after="0" w:line="24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9"/>
          <w:szCs w:val="19"/>
          <w:b w:val="1"/>
          <w:bCs w:val="1"/>
          <w:color w:val="auto"/>
        </w:rPr>
        <w:t>CURRENT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-128270</wp:posOffset>
            </wp:positionV>
            <wp:extent cx="714946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9465" cy="7620"/>
                    </a:xfrm>
                    <a:prstGeom prst="rect">
                      <a:avLst/>
                    </a:prstGeom>
                    <a:noFill/>
                  </pic:spPr>
                </pic:pic>
              </a:graphicData>
            </a:graphic>
          </wp:anchor>
        </w:drawing>
      </w:r>
    </w:p>
    <w:p>
      <w:pPr>
        <w:jc w:val="center"/>
        <w:ind w:right="20"/>
        <w:spacing w:after="0"/>
        <w:rPr>
          <w:sz w:val="20"/>
          <w:szCs w:val="20"/>
          <w:color w:val="auto"/>
        </w:rPr>
      </w:pPr>
      <w:r>
        <w:rPr>
          <w:rFonts w:ascii="Times New Roman" w:cs="Times New Roman" w:eastAsia="Times New Roman" w:hAnsi="Times New Roman"/>
          <w:sz w:val="19"/>
          <w:szCs w:val="19"/>
          <w:b w:val="1"/>
          <w:bCs w:val="1"/>
          <w:color w:val="auto"/>
        </w:rPr>
        <w:t>Pursuant to Section 13 or 15(d) of the</w:t>
      </w:r>
    </w:p>
    <w:p>
      <w:pPr>
        <w:jc w:val="center"/>
        <w:ind w:right="20"/>
        <w:spacing w:after="0" w:line="233" w:lineRule="auto"/>
        <w:rPr>
          <w:sz w:val="20"/>
          <w:szCs w:val="20"/>
          <w:color w:val="auto"/>
        </w:rPr>
      </w:pPr>
      <w:r>
        <w:rPr>
          <w:rFonts w:ascii="Times New Roman" w:cs="Times New Roman" w:eastAsia="Times New Roman" w:hAnsi="Times New Roman"/>
          <w:sz w:val="19"/>
          <w:szCs w:val="19"/>
          <w:b w:val="1"/>
          <w:bCs w:val="1"/>
          <w:color w:val="auto"/>
        </w:rPr>
        <w:t>Securities Exchange Act of 1934</w:t>
      </w:r>
    </w:p>
    <w:p>
      <w:pPr>
        <w:spacing w:after="0" w:line="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9"/>
          <w:szCs w:val="19"/>
          <w:b w:val="1"/>
          <w:bCs w:val="1"/>
          <w:color w:val="auto"/>
        </w:rPr>
        <w:t>Date of Report (Date of earliest event reported): June 14, 2022</w:t>
      </w:r>
    </w:p>
    <w:p>
      <w:pPr>
        <w:spacing w:after="0" w:line="17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8"/>
          <w:szCs w:val="38"/>
          <w:b w:val="1"/>
          <w:bCs w:val="1"/>
          <w:color w:val="auto"/>
        </w:rPr>
        <w:t>SANA BIOTECHNOLOGY,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-256540</wp:posOffset>
            </wp:positionV>
            <wp:extent cx="714946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9465" cy="7620"/>
                    </a:xfrm>
                    <a:prstGeom prst="rect">
                      <a:avLst/>
                    </a:prstGeom>
                    <a:noFill/>
                  </pic:spPr>
                </pic:pic>
              </a:graphicData>
            </a:graphic>
          </wp:anchor>
        </w:drawing>
      </w:r>
    </w:p>
    <w:p>
      <w:pPr>
        <w:spacing w:after="0" w:line="2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137795</wp:posOffset>
            </wp:positionV>
            <wp:extent cx="714946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9465" cy="7620"/>
                    </a:xfrm>
                    <a:prstGeom prst="rect">
                      <a:avLst/>
                    </a:prstGeom>
                    <a:noFill/>
                  </pic:spPr>
                </pic:pic>
              </a:graphicData>
            </a:graphic>
          </wp:anchor>
        </w:drawing>
      </w:r>
    </w:p>
    <w:p>
      <w:pPr>
        <w:sectPr>
          <w:pgSz w:w="11900" w:h="16838" w:orient="portrait"/>
          <w:cols w:equalWidth="0" w:num="1">
            <w:col w:w="11260"/>
          </w:cols>
          <w:pgMar w:left="320" w:top="428" w:right="319" w:bottom="1440" w:gutter="0" w:footer="0" w:header="0"/>
        </w:sectPr>
      </w:pPr>
    </w:p>
    <w:p>
      <w:pPr>
        <w:spacing w:after="0" w:line="340" w:lineRule="exact"/>
        <w:rPr>
          <w:sz w:val="24"/>
          <w:szCs w:val="24"/>
          <w:color w:val="auto"/>
        </w:rPr>
      </w:pPr>
    </w:p>
    <w:p>
      <w:pPr>
        <w:ind w:left="1580"/>
        <w:spacing w:after="0"/>
        <w:rPr>
          <w:sz w:val="20"/>
          <w:szCs w:val="20"/>
          <w:color w:val="auto"/>
        </w:rPr>
      </w:pPr>
      <w:r>
        <w:rPr>
          <w:rFonts w:ascii="Times New Roman" w:cs="Times New Roman" w:eastAsia="Times New Roman" w:hAnsi="Times New Roman"/>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320" w:lineRule="exact"/>
        <w:rPr>
          <w:sz w:val="24"/>
          <w:szCs w:val="24"/>
          <w:color w:val="auto"/>
        </w:rPr>
      </w:pPr>
    </w:p>
    <w:p>
      <w:pPr>
        <w:jc w:val="center"/>
        <w:ind w:right="2260"/>
        <w:spacing w:after="0"/>
        <w:rPr>
          <w:sz w:val="20"/>
          <w:szCs w:val="20"/>
          <w:color w:val="auto"/>
        </w:rPr>
      </w:pPr>
      <w:r>
        <w:rPr>
          <w:rFonts w:ascii="Times New Roman" w:cs="Times New Roman" w:eastAsia="Times New Roman" w:hAnsi="Times New Roman"/>
          <w:sz w:val="15"/>
          <w:szCs w:val="15"/>
          <w:b w:val="1"/>
          <w:bCs w:val="1"/>
          <w:color w:val="auto"/>
        </w:rPr>
        <w:t>001-39941</w:t>
      </w:r>
    </w:p>
    <w:p>
      <w:pPr>
        <w:spacing w:after="0" w:line="20" w:lineRule="exact"/>
        <w:rPr>
          <w:sz w:val="24"/>
          <w:szCs w:val="24"/>
          <w:color w:val="auto"/>
        </w:rPr>
      </w:pPr>
      <w:r>
        <w:rPr>
          <w:sz w:val="24"/>
          <w:szCs w:val="24"/>
          <w:color w:val="auto"/>
        </w:rPr>
        <w:br w:type="column"/>
      </w:r>
    </w:p>
    <w:p>
      <w:pPr>
        <w:spacing w:after="0" w:line="320"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83-1381173</w:t>
      </w:r>
    </w:p>
    <w:p>
      <w:pPr>
        <w:spacing w:after="0" w:line="10" w:lineRule="exact"/>
        <w:rPr>
          <w:sz w:val="24"/>
          <w:szCs w:val="24"/>
          <w:color w:val="auto"/>
        </w:rPr>
      </w:pPr>
    </w:p>
    <w:p>
      <w:pPr>
        <w:sectPr>
          <w:pgSz w:w="11900" w:h="16838" w:orient="portrait"/>
          <w:cols w:equalWidth="0" w:num="3">
            <w:col w:w="4700" w:space="720"/>
            <w:col w:w="2940" w:space="720"/>
            <w:col w:w="2180"/>
          </w:cols>
          <w:pgMar w:left="320" w:top="428" w:right="319" w:bottom="1440" w:gutter="0" w:footer="0" w:header="0"/>
          <w:type w:val="continuous"/>
        </w:sectPr>
      </w:pPr>
    </w:p>
    <w:p>
      <w:pPr>
        <w:spacing w:after="0" w:line="11" w:lineRule="exact"/>
        <w:rPr>
          <w:sz w:val="24"/>
          <w:szCs w:val="24"/>
          <w:color w:val="auto"/>
        </w:rPr>
      </w:pPr>
    </w:p>
    <w:p>
      <w:pPr>
        <w:jc w:val="center"/>
        <w:ind w:right="880"/>
        <w:spacing w:after="0"/>
        <w:rPr>
          <w:sz w:val="20"/>
          <w:szCs w:val="20"/>
          <w:color w:val="auto"/>
        </w:rPr>
      </w:pPr>
      <w:r>
        <w:rPr>
          <w:rFonts w:ascii="Times New Roman" w:cs="Times New Roman" w:eastAsia="Times New Roman" w:hAnsi="Times New Roman"/>
          <w:sz w:val="12"/>
          <w:szCs w:val="12"/>
          <w:b w:val="1"/>
          <w:bCs w:val="1"/>
          <w:color w:val="auto"/>
        </w:rPr>
        <w:t>(State or other jurisdiction</w:t>
      </w:r>
    </w:p>
    <w:p>
      <w:pPr>
        <w:jc w:val="center"/>
        <w:ind w:right="880"/>
        <w:spacing w:after="0"/>
        <w:rPr>
          <w:sz w:val="20"/>
          <w:szCs w:val="20"/>
          <w:color w:val="auto"/>
        </w:rPr>
      </w:pPr>
      <w:r>
        <w:rPr>
          <w:rFonts w:ascii="Times New Roman" w:cs="Times New Roman" w:eastAsia="Times New Roman" w:hAnsi="Times New Roman"/>
          <w:sz w:val="13"/>
          <w:szCs w:val="13"/>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2"/>
          <w:szCs w:val="12"/>
          <w:b w:val="1"/>
          <w:bCs w:val="1"/>
          <w:color w:val="auto"/>
        </w:rPr>
        <w:t>(Commission</w:t>
      </w:r>
    </w:p>
    <w:p>
      <w:pPr>
        <w:spacing w:after="0"/>
        <w:rPr>
          <w:sz w:val="20"/>
          <w:szCs w:val="20"/>
          <w:color w:val="auto"/>
        </w:rPr>
      </w:pPr>
      <w:r>
        <w:rPr>
          <w:rFonts w:ascii="Times New Roman" w:cs="Times New Roman" w:eastAsia="Times New Roman" w:hAnsi="Times New Roman"/>
          <w:sz w:val="12"/>
          <w:szCs w:val="12"/>
          <w:b w:val="1"/>
          <w:bCs w:val="1"/>
          <w:color w:val="auto"/>
        </w:rPr>
        <w:t>File Number)</w:t>
      </w:r>
    </w:p>
    <w:p>
      <w:pPr>
        <w:spacing w:after="0" w:line="20" w:lineRule="exact"/>
        <w:rPr>
          <w:sz w:val="24"/>
          <w:szCs w:val="24"/>
          <w:color w:val="auto"/>
        </w:rPr>
      </w:pPr>
      <w:r>
        <w:rPr>
          <w:sz w:val="24"/>
          <w:szCs w:val="24"/>
          <w:color w:val="auto"/>
        </w:rPr>
        <w:br w:type="column"/>
      </w:r>
    </w:p>
    <w:p>
      <w:pPr>
        <w:jc w:val="center"/>
        <w:ind w:right="1180"/>
        <w:spacing w:after="0"/>
        <w:rPr>
          <w:sz w:val="20"/>
          <w:szCs w:val="20"/>
          <w:color w:val="auto"/>
        </w:rPr>
      </w:pPr>
      <w:r>
        <w:rPr>
          <w:rFonts w:ascii="Times New Roman" w:cs="Times New Roman" w:eastAsia="Times New Roman" w:hAnsi="Times New Roman"/>
          <w:sz w:val="13"/>
          <w:szCs w:val="13"/>
          <w:b w:val="1"/>
          <w:bCs w:val="1"/>
          <w:color w:val="auto"/>
        </w:rPr>
        <w:t>(IRS Employer</w:t>
      </w:r>
    </w:p>
    <w:p>
      <w:pPr>
        <w:jc w:val="center"/>
        <w:ind w:right="1180"/>
        <w:spacing w:after="0"/>
        <w:rPr>
          <w:sz w:val="20"/>
          <w:szCs w:val="20"/>
          <w:color w:val="auto"/>
        </w:rPr>
      </w:pPr>
      <w:r>
        <w:rPr>
          <w:rFonts w:ascii="Times New Roman" w:cs="Times New Roman" w:eastAsia="Times New Roman" w:hAnsi="Times New Roman"/>
          <w:sz w:val="12"/>
          <w:szCs w:val="12"/>
          <w:b w:val="1"/>
          <w:bCs w:val="1"/>
          <w:color w:val="auto"/>
        </w:rPr>
        <w:t>Identification Number)</w:t>
      </w:r>
    </w:p>
    <w:p>
      <w:pPr>
        <w:spacing w:after="0" w:line="109" w:lineRule="exact"/>
        <w:rPr>
          <w:sz w:val="24"/>
          <w:szCs w:val="24"/>
          <w:color w:val="auto"/>
        </w:rPr>
      </w:pPr>
    </w:p>
    <w:p>
      <w:pPr>
        <w:sectPr>
          <w:pgSz w:w="11900" w:h="16838" w:orient="portrait"/>
          <w:cols w:equalWidth="0" w:num="3">
            <w:col w:w="4680" w:space="720"/>
            <w:col w:w="2720" w:space="720"/>
            <w:col w:w="2420"/>
          </w:cols>
          <w:pgMar w:left="320" w:top="428" w:right="319" w:bottom="1440" w:gutter="0" w:footer="0" w:header="0"/>
          <w:type w:val="continuous"/>
        </w:sect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188 East Blaine Street, Suite 400</w:t>
      </w:r>
    </w:p>
    <w:p>
      <w:pPr>
        <w:spacing w:after="0" w:line="2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Seattle, Washington 98102</w:t>
      </w: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 including Zip Code)</w:t>
      </w:r>
    </w:p>
    <w:p>
      <w:pPr>
        <w:spacing w:after="0" w:line="9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Registrant’s telephone number, including area code: (206) 701-7914</w:t>
      </w:r>
    </w:p>
    <w:p>
      <w:pPr>
        <w:sectPr>
          <w:pgSz w:w="11900" w:h="16838" w:orient="portrait"/>
          <w:cols w:equalWidth="0" w:num="1">
            <w:col w:w="11260"/>
          </w:cols>
          <w:pgMar w:left="320" w:top="428" w:right="319" w:bottom="1440" w:gutter="0" w:footer="0" w:header="0"/>
          <w:type w:val="continuous"/>
        </w:sectPr>
      </w:pPr>
    </w:p>
    <w:p>
      <w:pPr>
        <w:spacing w:after="0" w:line="172"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-113030</wp:posOffset>
            </wp:positionV>
            <wp:extent cx="714946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9465" cy="7620"/>
                    </a:xfrm>
                    <a:prstGeom prst="rect">
                      <a:avLst/>
                    </a:prstGeom>
                    <a:noFill/>
                  </pic:spPr>
                </pic:pic>
              </a:graphicData>
            </a:graphic>
          </wp:anchor>
        </w:drawing>
      </w:r>
    </w:p>
    <w:p>
      <w:pPr>
        <w:ind w:left="720" w:hanging="359"/>
        <w:spacing w:after="0"/>
        <w:tabs>
          <w:tab w:leader="none" w:pos="7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11" w:lineRule="exact"/>
        <w:rPr>
          <w:rFonts w:ascii="MS PGothic" w:cs="MS PGothic" w:eastAsia="MS PGothic" w:hAnsi="MS PGothic"/>
          <w:sz w:val="16"/>
          <w:szCs w:val="16"/>
          <w:color w:val="auto"/>
        </w:rPr>
      </w:pPr>
    </w:p>
    <w:p>
      <w:pPr>
        <w:ind w:left="720" w:hanging="359"/>
        <w:spacing w:after="0"/>
        <w:tabs>
          <w:tab w:leader="none" w:pos="7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5" w:lineRule="exact"/>
        <w:rPr>
          <w:rFonts w:ascii="MS PGothic" w:cs="MS PGothic" w:eastAsia="MS PGothic" w:hAnsi="MS PGothic"/>
          <w:sz w:val="16"/>
          <w:szCs w:val="16"/>
          <w:color w:val="auto"/>
        </w:rPr>
      </w:pPr>
    </w:p>
    <w:p>
      <w:pPr>
        <w:ind w:left="720" w:hanging="359"/>
        <w:spacing w:after="0"/>
        <w:tabs>
          <w:tab w:leader="none" w:pos="7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5" w:lineRule="exact"/>
        <w:rPr>
          <w:rFonts w:ascii="MS PGothic" w:cs="MS PGothic" w:eastAsia="MS PGothic" w:hAnsi="MS PGothic"/>
          <w:sz w:val="16"/>
          <w:szCs w:val="16"/>
          <w:color w:val="auto"/>
        </w:rPr>
      </w:pPr>
    </w:p>
    <w:p>
      <w:pPr>
        <w:ind w:left="720" w:hanging="359"/>
        <w:spacing w:after="0"/>
        <w:tabs>
          <w:tab w:leader="none" w:pos="7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137795</wp:posOffset>
            </wp:positionV>
            <wp:extent cx="714946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9465" cy="7620"/>
                    </a:xfrm>
                    <a:prstGeom prst="rect">
                      <a:avLst/>
                    </a:prstGeom>
                    <a:noFill/>
                  </pic:spPr>
                </pic:pic>
              </a:graphicData>
            </a:graphic>
          </wp:anchor>
        </w:drawing>
      </w:r>
    </w:p>
    <w:p>
      <w:pPr>
        <w:spacing w:after="0" w:line="334"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197" w:lineRule="exact"/>
        <w:rPr>
          <w:sz w:val="24"/>
          <w:szCs w:val="24"/>
          <w:color w:val="auto"/>
        </w:rPr>
      </w:pPr>
    </w:p>
    <w:tbl>
      <w:tblPr>
        <w:tblLayout w:type="fixed"/>
        <w:tblInd w:w="0" w:type="dxa"/>
        <w:tblCellMar>
          <w:top w:w="0" w:type="dxa"/>
          <w:left w:w="0" w:type="dxa"/>
          <w:bottom w:w="0" w:type="dxa"/>
          <w:right w:w="0" w:type="dxa"/>
        </w:tblCellMar>
      </w:tblPr>
      <w:tr>
        <w:trPr>
          <w:trHeight w:val="186"/>
        </w:trPr>
        <w:tc>
          <w:tcPr>
            <w:tcW w:w="46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1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Trading Symbol(s)</w:t>
            </w:r>
          </w:p>
        </w:tc>
        <w:tc>
          <w:tcPr>
            <w:tcW w:w="4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06"/>
        </w:trPr>
        <w:tc>
          <w:tcPr>
            <w:tcW w:w="45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Common Stock, $0.0001 par value per share</w:t>
            </w:r>
          </w:p>
        </w:tc>
        <w:tc>
          <w:tcPr>
            <w:tcW w:w="120" w:type="dxa"/>
            <w:vAlign w:val="bottom"/>
          </w:tcPr>
          <w:p>
            <w:pPr>
              <w:spacing w:after="0"/>
              <w:rPr>
                <w:sz w:val="17"/>
                <w:szCs w:val="17"/>
                <w:color w:val="auto"/>
              </w:rPr>
            </w:pPr>
          </w:p>
        </w:tc>
        <w:tc>
          <w:tcPr>
            <w:tcW w:w="20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SANA</w:t>
            </w:r>
          </w:p>
        </w:tc>
        <w:tc>
          <w:tcPr>
            <w:tcW w:w="100" w:type="dxa"/>
            <w:vAlign w:val="bottom"/>
          </w:tcPr>
          <w:p>
            <w:pPr>
              <w:spacing w:after="0"/>
              <w:rPr>
                <w:sz w:val="17"/>
                <w:szCs w:val="17"/>
                <w:color w:val="auto"/>
              </w:rPr>
            </w:pPr>
          </w:p>
        </w:tc>
        <w:tc>
          <w:tcPr>
            <w:tcW w:w="45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The Nasdaq Global Select Market</w:t>
            </w:r>
          </w:p>
        </w:tc>
      </w:tr>
    </w:tbl>
    <w:p>
      <w:pPr>
        <w:spacing w:after="0" w:line="189" w:lineRule="exact"/>
        <w:rPr>
          <w:sz w:val="24"/>
          <w:szCs w:val="24"/>
          <w:color w:val="auto"/>
        </w:rPr>
      </w:pPr>
    </w:p>
    <w:p>
      <w:pPr>
        <w:ind w:right="240"/>
        <w:spacing w:after="0" w:line="254"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-243840</wp:posOffset>
            </wp:positionV>
            <wp:extent cx="7149465"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7620"/>
                    </a:xfrm>
                    <a:prstGeom prst="rect">
                      <a:avLst/>
                    </a:prstGeom>
                    <a:noFill/>
                  </pic:spPr>
                </pic:pic>
              </a:graphicData>
            </a:graphic>
          </wp:anchor>
        </w:drawing>
      </w:r>
    </w:p>
    <w:p>
      <w:pPr>
        <w:ind w:left="8900"/>
        <w:spacing w:after="0" w:line="165"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182" w:lineRule="exact"/>
        <w:rPr>
          <w:sz w:val="24"/>
          <w:szCs w:val="24"/>
          <w:color w:val="auto"/>
        </w:rPr>
      </w:pPr>
    </w:p>
    <w:p>
      <w:pPr>
        <w:ind w:right="320"/>
        <w:spacing w:after="0" w:line="206"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-15240</wp:posOffset>
            </wp:positionH>
            <wp:positionV relativeFrom="paragraph">
              <wp:posOffset>322580</wp:posOffset>
            </wp:positionV>
            <wp:extent cx="7174865" cy="406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428" w:right="319" w:bottom="1440" w:gutter="0" w:footer="0" w:header="0"/>
          <w:type w:val="continuous"/>
        </w:sectPr>
      </w:pPr>
    </w:p>
    <w:bookmarkStart w:id="1" w:name="page2"/>
    <w:bookmarkEnd w:id="1"/>
    <w:p>
      <w:pPr>
        <w:ind w:left="5"/>
        <w:spacing w:after="0"/>
        <w:rPr>
          <w:sz w:val="20"/>
          <w:szCs w:val="20"/>
          <w:color w:val="auto"/>
        </w:rPr>
      </w:pPr>
      <w:r>
        <w:rPr>
          <w:rFonts w:ascii="Times New Roman" w:cs="Times New Roman" w:eastAsia="Times New Roman" w:hAnsi="Times New Roman"/>
          <w:sz w:val="16"/>
          <w:szCs w:val="16"/>
          <w:b w:val="1"/>
          <w:bCs w:val="1"/>
          <w:color w:val="auto"/>
        </w:rPr>
        <w:t>Item 7.01 Regulation FD Disclosure.</w:t>
      </w:r>
    </w:p>
    <w:p>
      <w:pPr>
        <w:spacing w:after="0" w:line="196" w:lineRule="exact"/>
        <w:rPr>
          <w:sz w:val="20"/>
          <w:szCs w:val="20"/>
          <w:color w:val="auto"/>
        </w:rPr>
      </w:pPr>
    </w:p>
    <w:p>
      <w:pPr>
        <w:ind w:left="5" w:right="300"/>
        <w:spacing w:after="0" w:line="261" w:lineRule="auto"/>
        <w:rPr>
          <w:sz w:val="20"/>
          <w:szCs w:val="20"/>
          <w:color w:val="auto"/>
        </w:rPr>
      </w:pPr>
      <w:r>
        <w:rPr>
          <w:rFonts w:ascii="Times New Roman" w:cs="Times New Roman" w:eastAsia="Times New Roman" w:hAnsi="Times New Roman"/>
          <w:sz w:val="16"/>
          <w:szCs w:val="16"/>
          <w:color w:val="auto"/>
        </w:rPr>
        <w:t>Sana Biotechnology, Inc. (the “Company”) intends to discuss an updated corporate presentation (the “Corporate Presentation”) at the Goldman Sachs 43rd Annual Global Healthcare Conference on June 14, 2022. A copy of the Corporate Presentation is furnished as Exhibit 99.1 to this Current Report on Form 8-K (this “Current Report”) and is incorporated by reference herein.</w:t>
      </w:r>
    </w:p>
    <w:p>
      <w:pPr>
        <w:spacing w:after="0" w:line="157" w:lineRule="exact"/>
        <w:rPr>
          <w:sz w:val="20"/>
          <w:szCs w:val="20"/>
          <w:color w:val="auto"/>
        </w:rPr>
      </w:pPr>
    </w:p>
    <w:p>
      <w:pPr>
        <w:jc w:val="both"/>
        <w:ind w:left="5"/>
        <w:spacing w:after="0" w:line="254" w:lineRule="auto"/>
        <w:rPr>
          <w:sz w:val="20"/>
          <w:szCs w:val="20"/>
          <w:color w:val="auto"/>
        </w:rPr>
      </w:pPr>
      <w:r>
        <w:rPr>
          <w:rFonts w:ascii="Times New Roman" w:cs="Times New Roman" w:eastAsia="Times New Roman" w:hAnsi="Times New Roman"/>
          <w:sz w:val="16"/>
          <w:szCs w:val="16"/>
          <w:color w:val="auto"/>
        </w:rPr>
        <w:t>By furnishing the information in this Item 7.01 of this Current Report, including Exhibit 99.1, the Company makes no admission as to the materiality of such information. The information contained herein is intended to be considered in the context of the Company’s filings with the U.S. Securities and Exchange Commission (the “SEC”) and other public announcements that the Company makes, by press release or otherwise, from time to time. The Company undertakes no duty or obligation to publicly update or revise the information contained in the Corporate Presentation, although it may do so from time to time as its management believes is appropriate. Any such updating may be made through the filing of other reports or documents with the SEC, through press releases or through other public disclosure.</w:t>
      </w:r>
    </w:p>
    <w:p>
      <w:pPr>
        <w:spacing w:after="0" w:line="162" w:lineRule="exact"/>
        <w:rPr>
          <w:sz w:val="20"/>
          <w:szCs w:val="20"/>
          <w:color w:val="auto"/>
        </w:rPr>
      </w:pPr>
    </w:p>
    <w:p>
      <w:pPr>
        <w:ind w:left="5" w:right="160"/>
        <w:spacing w:after="0" w:line="286" w:lineRule="auto"/>
        <w:rPr>
          <w:sz w:val="20"/>
          <w:szCs w:val="20"/>
          <w:color w:val="auto"/>
        </w:rPr>
      </w:pPr>
      <w:r>
        <w:rPr>
          <w:rFonts w:ascii="Times New Roman" w:cs="Times New Roman" w:eastAsia="Times New Roman" w:hAnsi="Times New Roman"/>
          <w:sz w:val="15"/>
          <w:szCs w:val="15"/>
          <w:color w:val="auto"/>
        </w:rPr>
        <w:t>In accordance with General Instruction B.2 of Form 8-K, the information furnished with this Current Report, including Exhibit 99.1, shall not be deemed “filed” for purposes of Section 18 of the Securities Exchange Act of 1934, as amended (“Exchange Act”), or otherwise subject to the liabilities of that section, nor shall it be deemed incorporated by reference into any other filing under the Securities Act of 1933, as amended, or the Exchange Act, except as expressly set forth by specific reference in such a filing.</w:t>
      </w:r>
    </w:p>
    <w:p>
      <w:pPr>
        <w:spacing w:after="0" w:line="138"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color w:val="auto"/>
        </w:rPr>
        <w:t>Item 9.01 Financial Statements and Exhibits.</w:t>
      </w:r>
    </w:p>
    <w:p>
      <w:pPr>
        <w:spacing w:after="0" w:line="386"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color w:val="auto"/>
        </w:rPr>
        <w:t>(d) Exhibits</w:t>
      </w:r>
    </w:p>
    <w:p>
      <w:pPr>
        <w:spacing w:after="0" w:line="194"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color w:val="auto"/>
        </w:rPr>
        <w:t>See the Exhibit Index below, which is incorporated by reference herein.</w:t>
      </w:r>
    </w:p>
    <w:p>
      <w:pPr>
        <w:spacing w:after="0" w:line="192" w:lineRule="exact"/>
        <w:rPr>
          <w:sz w:val="20"/>
          <w:szCs w:val="20"/>
          <w:color w:val="auto"/>
        </w:rPr>
      </w:pPr>
    </w:p>
    <w:tbl>
      <w:tblPr>
        <w:tblLayout w:type="fixed"/>
        <w:tblInd w:w="5" w:type="dxa"/>
        <w:tblCellMar>
          <w:top w:w="0" w:type="dxa"/>
          <w:left w:w="0" w:type="dxa"/>
          <w:bottom w:w="0" w:type="dxa"/>
          <w:right w:w="0" w:type="dxa"/>
        </w:tblCellMar>
      </w:tblPr>
      <w:tr>
        <w:trPr>
          <w:trHeight w:val="208"/>
        </w:trPr>
        <w:tc>
          <w:tcPr>
            <w:tcW w:w="1020" w:type="dxa"/>
            <w:vAlign w:val="bottom"/>
            <w:gridSpan w:val="3"/>
            <w:vMerge w:val="restart"/>
          </w:tcPr>
          <w:p>
            <w:pPr>
              <w:spacing w:after="0"/>
              <w:rPr>
                <w:sz w:val="20"/>
                <w:szCs w:val="20"/>
                <w:color w:val="auto"/>
              </w:rPr>
            </w:pPr>
            <w:r>
              <w:rPr>
                <w:rFonts w:ascii="Times New Roman" w:cs="Times New Roman" w:eastAsia="Times New Roman" w:hAnsi="Times New Roman"/>
                <w:sz w:val="13"/>
                <w:szCs w:val="13"/>
                <w:b w:val="1"/>
                <w:bCs w:val="1"/>
                <w:color w:val="auto"/>
              </w:rPr>
              <w:t>Exhibit</w:t>
            </w:r>
          </w:p>
        </w:tc>
        <w:tc>
          <w:tcPr>
            <w:tcW w:w="2760" w:type="dxa"/>
            <w:vAlign w:val="bottom"/>
          </w:tcPr>
          <w:p>
            <w:pPr>
              <w:spacing w:after="0"/>
              <w:rPr>
                <w:sz w:val="18"/>
                <w:szCs w:val="18"/>
                <w:color w:val="auto"/>
              </w:rPr>
            </w:pPr>
          </w:p>
        </w:tc>
        <w:tc>
          <w:tcPr>
            <w:tcW w:w="7480" w:type="dxa"/>
            <w:vAlign w:val="bottom"/>
          </w:tcPr>
          <w:p>
            <w:pPr>
              <w:ind w:left="1240"/>
              <w:spacing w:after="0"/>
              <w:rPr>
                <w:sz w:val="20"/>
                <w:szCs w:val="20"/>
                <w:color w:val="auto"/>
              </w:rPr>
            </w:pPr>
            <w:r>
              <w:rPr>
                <w:rFonts w:ascii="Times New Roman" w:cs="Times New Roman" w:eastAsia="Times New Roman" w:hAnsi="Times New Roman"/>
                <w:sz w:val="16"/>
                <w:szCs w:val="16"/>
                <w:b w:val="1"/>
                <w:bCs w:val="1"/>
                <w:color w:val="auto"/>
              </w:rPr>
              <w:t>EXHIBIT INDEX</w:t>
            </w:r>
          </w:p>
        </w:tc>
        <w:tc>
          <w:tcPr>
            <w:tcW w:w="0" w:type="dxa"/>
            <w:vAlign w:val="bottom"/>
          </w:tcPr>
          <w:p>
            <w:pPr>
              <w:spacing w:after="0"/>
              <w:rPr>
                <w:sz w:val="1"/>
                <w:szCs w:val="1"/>
                <w:color w:val="auto"/>
              </w:rPr>
            </w:pPr>
          </w:p>
        </w:tc>
      </w:tr>
      <w:tr>
        <w:trPr>
          <w:trHeight w:val="119"/>
        </w:trPr>
        <w:tc>
          <w:tcPr>
            <w:tcW w:w="1020" w:type="dxa"/>
            <w:vAlign w:val="bottom"/>
            <w:gridSpan w:val="3"/>
            <w:vMerge w:val="continue"/>
          </w:tcPr>
          <w:p>
            <w:pPr>
              <w:spacing w:after="0"/>
              <w:rPr>
                <w:sz w:val="10"/>
                <w:szCs w:val="10"/>
                <w:color w:val="auto"/>
              </w:rPr>
            </w:pPr>
          </w:p>
        </w:tc>
        <w:tc>
          <w:tcPr>
            <w:tcW w:w="2760" w:type="dxa"/>
            <w:vAlign w:val="bottom"/>
          </w:tcPr>
          <w:p>
            <w:pPr>
              <w:spacing w:after="0"/>
              <w:rPr>
                <w:sz w:val="10"/>
                <w:szCs w:val="10"/>
                <w:color w:val="auto"/>
              </w:rPr>
            </w:pPr>
          </w:p>
        </w:tc>
        <w:tc>
          <w:tcPr>
            <w:tcW w:w="7480" w:type="dxa"/>
            <w:vAlign w:val="bottom"/>
            <w:vMerge w:val="restart"/>
          </w:tcPr>
          <w:p>
            <w:pPr>
              <w:ind w:left="2040"/>
              <w:spacing w:after="0"/>
              <w:rPr>
                <w:sz w:val="20"/>
                <w:szCs w:val="20"/>
                <w:color w:val="auto"/>
              </w:rPr>
            </w:pPr>
            <w:r>
              <w:rPr>
                <w:rFonts w:ascii="Times New Roman" w:cs="Times New Roman" w:eastAsia="Times New Roman" w:hAnsi="Times New Roman"/>
                <w:sz w:val="13"/>
                <w:szCs w:val="13"/>
                <w:b w:val="1"/>
                <w:bCs w:val="1"/>
                <w:color w:val="auto"/>
              </w:rPr>
              <w:t>Description</w:t>
            </w:r>
          </w:p>
        </w:tc>
        <w:tc>
          <w:tcPr>
            <w:tcW w:w="0" w:type="dxa"/>
            <w:vAlign w:val="bottom"/>
          </w:tcPr>
          <w:p>
            <w:pPr>
              <w:spacing w:after="0"/>
              <w:rPr>
                <w:sz w:val="1"/>
                <w:szCs w:val="1"/>
                <w:color w:val="auto"/>
              </w:rPr>
            </w:pPr>
          </w:p>
        </w:tc>
      </w:tr>
      <w:tr>
        <w:trPr>
          <w:trHeight w:val="152"/>
        </w:trPr>
        <w:tc>
          <w:tcPr>
            <w:tcW w:w="102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Number</w:t>
            </w:r>
          </w:p>
        </w:tc>
        <w:tc>
          <w:tcPr>
            <w:tcW w:w="2760" w:type="dxa"/>
            <w:vAlign w:val="bottom"/>
          </w:tcPr>
          <w:p>
            <w:pPr>
              <w:spacing w:after="0"/>
              <w:rPr>
                <w:sz w:val="13"/>
                <w:szCs w:val="13"/>
                <w:color w:val="auto"/>
              </w:rPr>
            </w:pPr>
          </w:p>
        </w:tc>
        <w:tc>
          <w:tcPr>
            <w:tcW w:w="74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80" w:type="dxa"/>
            <w:vAlign w:val="bottom"/>
            <w:tcBorders>
              <w:top w:val="single" w:sz="8" w:color="auto"/>
            </w:tcBorders>
          </w:tcPr>
          <w:p>
            <w:pPr>
              <w:spacing w:after="0" w:line="158" w:lineRule="exact"/>
              <w:rPr>
                <w:sz w:val="20"/>
                <w:szCs w:val="20"/>
                <w:color w:val="auto"/>
              </w:rPr>
            </w:pPr>
            <w:r>
              <w:rPr>
                <w:rFonts w:ascii="Times New Roman" w:cs="Times New Roman" w:eastAsia="Times New Roman" w:hAnsi="Times New Roman"/>
                <w:sz w:val="16"/>
                <w:szCs w:val="16"/>
                <w:color w:val="auto"/>
              </w:rPr>
              <w:t>99.1</w:t>
            </w:r>
          </w:p>
        </w:tc>
        <w:tc>
          <w:tcPr>
            <w:tcW w:w="220" w:type="dxa"/>
            <w:vAlign w:val="bottom"/>
          </w:tcPr>
          <w:p>
            <w:pPr>
              <w:spacing w:after="0"/>
              <w:rPr>
                <w:sz w:val="13"/>
                <w:szCs w:val="13"/>
                <w:color w:val="auto"/>
              </w:rPr>
            </w:pPr>
          </w:p>
        </w:tc>
        <w:tc>
          <w:tcPr>
            <w:tcW w:w="2760" w:type="dxa"/>
            <w:vAlign w:val="bottom"/>
            <w:tcBorders>
              <w:top w:val="single" w:sz="8" w:color="auto"/>
              <w:bottom w:val="single" w:sz="8" w:color="0000EE"/>
            </w:tcBorders>
          </w:tcPr>
          <w:p>
            <w:pPr>
              <w:spacing w:after="0" w:line="158" w:lineRule="exact"/>
              <w:rPr>
                <w:sz w:val="20"/>
                <w:szCs w:val="20"/>
                <w:color w:val="auto"/>
              </w:rPr>
            </w:pPr>
            <w:r>
              <w:rPr>
                <w:rFonts w:ascii="Times New Roman" w:cs="Times New Roman" w:eastAsia="Times New Roman" w:hAnsi="Times New Roman"/>
                <w:sz w:val="16"/>
                <w:szCs w:val="16"/>
                <w:color w:val="0000EE"/>
                <w:w w:val="98"/>
              </w:rPr>
              <w:t>Corporate Presentation dated June 14, 2022</w:t>
            </w:r>
          </w:p>
        </w:tc>
        <w:tc>
          <w:tcPr>
            <w:tcW w:w="748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5585" w:right="5180" w:hanging="5585"/>
        <w:spacing w:after="0" w:line="604" w:lineRule="auto"/>
        <w:tabs>
          <w:tab w:leader="none" w:pos="1024" w:val="left"/>
        </w:tabs>
        <w:numPr>
          <w:ilvl w:val="0"/>
          <w:numId w:val="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Cover Page Interactive Data File (embedded within the Inline XBRL document)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323215</wp:posOffset>
            </wp:positionV>
            <wp:extent cx="7174865" cy="406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5"/>
          </w:cols>
          <w:pgMar w:left="315" w:top="499" w:right="319" w:bottom="1440" w:gutter="0" w:footer="0" w:header="0"/>
        </w:sectPr>
      </w:pPr>
    </w:p>
    <w:bookmarkStart w:id="2" w:name="page3"/>
    <w:bookmarkEnd w:id="2"/>
    <w:p>
      <w:pPr>
        <w:jc w:val="center"/>
        <w:ind w:right="-479"/>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196"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thereunto duly authorized.</w:t>
      </w:r>
    </w:p>
    <w:p>
      <w:pPr>
        <w:spacing w:after="0" w:line="178"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6"/>
          <w:szCs w:val="16"/>
          <w:b w:val="1"/>
          <w:bCs w:val="1"/>
          <w:color w:val="auto"/>
        </w:rPr>
        <w:t>Sana Biotechnology, Inc.</w:t>
      </w:r>
    </w:p>
    <w:p>
      <w:pPr>
        <w:spacing w:after="0" w:line="220" w:lineRule="exact"/>
        <w:rPr>
          <w:sz w:val="20"/>
          <w:szCs w:val="20"/>
          <w:color w:val="auto"/>
        </w:rPr>
      </w:pPr>
    </w:p>
    <w:p>
      <w:pPr>
        <w:spacing w:after="0"/>
        <w:tabs>
          <w:tab w:leader="none" w:pos="5660" w:val="left"/>
          <w:tab w:leader="none" w:pos="7860" w:val="left"/>
        </w:tabs>
        <w:rPr>
          <w:sz w:val="20"/>
          <w:szCs w:val="20"/>
          <w:color w:val="auto"/>
        </w:rPr>
      </w:pPr>
      <w:r>
        <w:rPr>
          <w:rFonts w:ascii="Times New Roman" w:cs="Times New Roman" w:eastAsia="Times New Roman" w:hAnsi="Times New Roman"/>
          <w:sz w:val="16"/>
          <w:szCs w:val="16"/>
          <w:color w:val="auto"/>
        </w:rPr>
        <w:t>Date: June 14, 2022</w:t>
      </w:r>
      <w:r>
        <w:rPr>
          <w:sz w:val="20"/>
          <w:szCs w:val="20"/>
          <w:color w:val="auto"/>
        </w:rPr>
        <w:tab/>
      </w: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5"/>
          <w:szCs w:val="15"/>
          <w:color w:val="auto"/>
        </w:rPr>
        <w:t>/s/ James J. MacDonald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3826510</wp:posOffset>
            </wp:positionH>
            <wp:positionV relativeFrom="paragraph">
              <wp:posOffset>13970</wp:posOffset>
            </wp:positionV>
            <wp:extent cx="3319145"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19145" cy="7620"/>
                    </a:xfrm>
                    <a:prstGeom prst="rect">
                      <a:avLst/>
                    </a:prstGeom>
                    <a:noFill/>
                  </pic:spPr>
                </pic:pic>
              </a:graphicData>
            </a:graphic>
          </wp:anchor>
        </w:drawing>
      </w:r>
    </w:p>
    <w:p>
      <w:pPr>
        <w:spacing w:after="0" w:line="7"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6"/>
          <w:szCs w:val="16"/>
          <w:b w:val="1"/>
          <w:bCs w:val="1"/>
          <w:color w:val="auto"/>
        </w:rPr>
        <w:t>James J. MacDonald</w:t>
      </w:r>
    </w:p>
    <w:p>
      <w:pPr>
        <w:spacing w:after="0" w:line="24"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6"/>
          <w:szCs w:val="16"/>
          <w:b w:val="1"/>
          <w:bCs w:val="1"/>
          <w:color w:val="auto"/>
        </w:rPr>
        <w:t>Executive Vice President and General Counsel</w:t>
      </w:r>
    </w:p>
    <w:p>
      <w:pPr>
        <w:spacing w:after="0" w:line="200" w:lineRule="exact"/>
        <w:rPr>
          <w:sz w:val="20"/>
          <w:szCs w:val="20"/>
          <w:color w:val="auto"/>
        </w:rPr>
      </w:pPr>
    </w:p>
    <w:p>
      <w:pPr>
        <w:spacing w:after="0" w:line="367"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6"/>
          <w:szCs w:val="16"/>
          <w:color w:val="auto"/>
        </w:rPr>
        <w:t>2</w:t>
      </w:r>
    </w:p>
    <w:p>
      <w:pPr>
        <w:sectPr>
          <w:pgSz w:w="11900" w:h="16838" w:orient="portrait"/>
          <w:cols w:equalWidth="0" w:num="1">
            <w:col w:w="10760"/>
          </w:cols>
          <w:pgMar w:left="320" w:top="499" w:right="819" w:bottom="1440" w:gutter="0" w:footer="0" w:header="0"/>
        </w:sectPr>
      </w:pPr>
    </w:p>
    <w:bookmarkStart w:id="3" w:name="page4"/>
    <w:bookmarkEnd w:id="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88900</wp:posOffset>
            </wp:positionV>
            <wp:extent cx="7204075" cy="42805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04075" cy="42805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42805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04075" cy="42805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42805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04075" cy="42805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42805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04075" cy="42805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42805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04075" cy="42805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42805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04075" cy="42805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42805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04075" cy="42805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42805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04075" cy="42805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42805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04075" cy="42805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42805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04075" cy="42805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42805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04075" cy="42805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42805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04075" cy="42805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42805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04075" cy="42805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42805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04075" cy="42805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42805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04075" cy="42805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42805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04075" cy="42805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42805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04075" cy="42805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42805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04075" cy="42805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42805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04075" cy="42805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42805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04075" cy="42805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42805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04075" cy="42805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42805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04075" cy="42805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42805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04075" cy="42805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42805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04075" cy="42805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42805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04075" cy="42805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42805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04075" cy="42805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42805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04075" cy="42805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419036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04075" cy="41903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42805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04075" cy="42805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42805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04075" cy="42805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0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2022-06-14T08:03:03Z</dcterms:created>
  <dcterms:modified xsi:type="dcterms:W3CDTF">2022-06-14T08:03:03Z</dcterms:modified>
</cp:coreProperties>
</file>