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sana-20260331.htm"/>
      <w:bookmarkStart w:id="1" w:name="kssana20260331"/>
      <w:bookmarkEnd w:id="0"/>
      <w:bookmarkEnd w:id="1"/>
      <w:r>
        <w:rPr/>
        <w:t> </w:t>
      </w:r>
    </w:p>
    <w:p>
      <w:pPr>
        <w:pStyle w:val="TextBody"/>
        <w:pBdr>
          <w:top w:val="double" w:sz="6" w:space="1" w:color="000000"/>
        </w:pBdr>
        <w:bidi w:val="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jc w:val="center"/>
        <w:rPr/>
      </w:pPr>
      <w:r>
        <w:rPr/>
        <w:t> </w:t>
      </w:r>
    </w:p>
    <w:p>
      <w:pPr>
        <w:pStyle w:val="TextBody"/>
        <w:bidi w:val="0"/>
        <w:spacing w:before="100" w:after="283"/>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4" w:space="1" w:color="000000"/>
        </w:pBdr>
        <w:bidi w:val="0"/>
        <w:jc w:val="center"/>
        <w:rPr/>
      </w:pPr>
      <w:r>
        <w:rPr/>
        <w:t> </w:t>
      </w:r>
    </w:p>
    <w:p>
      <w:pPr>
        <w:pStyle w:val="TextBody"/>
        <w:bidi w:val="0"/>
        <w:spacing w:before="100" w:after="283"/>
        <w:jc w:val="left"/>
        <w:rPr>
          <w:rFonts w:ascii="Times New Roman" w:hAnsi="Times New Roman"/>
          <w:b/>
          <w:color w:val="000000"/>
          <w:sz w:val="16"/>
        </w:rPr>
      </w:pPr>
      <w:r>
        <w:rPr>
          <w:rFonts w:ascii="Times New Roman" w:hAnsi="Times New Roman"/>
          <w:b/>
          <w:color w:val="000000"/>
          <w:sz w:val="16"/>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100" w:after="283"/>
              <w:jc w:val="left"/>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w:t>
            </w:r>
          </w:p>
        </w:tc>
      </w:tr>
    </w:tbl>
    <w:p>
      <w:pPr>
        <w:pStyle w:val="TextBody"/>
        <w:bidi w:val="0"/>
        <w:spacing w:before="100" w:after="283"/>
        <w:jc w:val="center"/>
        <w:rPr>
          <w:rFonts w:ascii="Times New Roman" w:hAnsi="Times New Roman"/>
          <w:sz w:val="20"/>
        </w:rPr>
      </w:pPr>
      <w:r>
        <w:rPr>
          <w:rFonts w:ascii="Times New Roman" w:hAnsi="Times New Roman"/>
          <w:b/>
          <w:color w:val="000000"/>
          <w:sz w:val="20"/>
        </w:rPr>
        <w:t>For the quarterly period ended March 31, 2026</w:t>
      </w:r>
      <w:r>
        <w:rPr>
          <w:rFonts w:ascii="Times New Roman" w:hAnsi="Times New Roman"/>
          <w:color w:val="000000"/>
          <w:sz w:val="20"/>
        </w:rPr>
        <w:t xml:space="preserve"> </w:t>
      </w:r>
    </w:p>
    <w:p>
      <w:pPr>
        <w:pStyle w:val="TextBody"/>
        <w:bidi w:val="0"/>
        <w:spacing w:before="100" w:after="283"/>
        <w:jc w:val="center"/>
        <w:rPr>
          <w:rFonts w:ascii="Times New Roman" w:hAnsi="Times New Roman"/>
          <w:b/>
          <w:color w:val="000000"/>
          <w:sz w:val="20"/>
        </w:rPr>
      </w:pPr>
      <w:r>
        <w:rPr>
          <w:rFonts w:ascii="Times New Roman" w:hAnsi="Times New Roman"/>
          <w:b/>
          <w:color w:val="000000"/>
          <w:sz w:val="20"/>
        </w:rPr>
        <w:t>OR</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spacing w:before="100" w:after="283"/>
        <w:jc w:val="center"/>
        <w:rPr>
          <w:rFonts w:ascii="Times New Roman" w:hAnsi="Times New Roman"/>
          <w:b/>
          <w:color w:val="000000"/>
          <w:sz w:val="20"/>
        </w:rPr>
      </w:pPr>
      <w:r>
        <w:rPr>
          <w:rFonts w:ascii="Times New Roman" w:hAnsi="Times New Roman"/>
          <w:b/>
          <w:color w:val="000000"/>
          <w:sz w:val="20"/>
        </w:rPr>
        <w:t>For the transition period from to</w:t>
      </w:r>
    </w:p>
    <w:p>
      <w:pPr>
        <w:pStyle w:val="TextBody"/>
        <w:bidi w:val="0"/>
        <w:spacing w:before="100" w:after="283"/>
        <w:jc w:val="center"/>
        <w:rPr>
          <w:rFonts w:ascii="Times New Roman" w:hAnsi="Times New Roman"/>
          <w:b/>
          <w:color w:val="000000"/>
          <w:sz w:val="20"/>
        </w:rPr>
      </w:pPr>
      <w:r>
        <w:rPr>
          <w:rFonts w:ascii="Times New Roman" w:hAnsi="Times New Roman"/>
          <w:b/>
          <w:color w:val="000000"/>
          <w:sz w:val="20"/>
        </w:rPr>
        <w:t>Commission File Number: 001-39941</w:t>
      </w:r>
    </w:p>
    <w:p>
      <w:pPr>
        <w:pStyle w:val="TextBody"/>
        <w:pBdr>
          <w:bottom w:val="single" w:sz="4" w:space="1" w:color="000000"/>
        </w:pBdr>
        <w:bidi w:val="0"/>
        <w:jc w:val="center"/>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Sana Biotechnology, Inc.</w:t>
      </w:r>
    </w:p>
    <w:p>
      <w:pPr>
        <w:pStyle w:val="TextBody"/>
        <w:bidi w:val="0"/>
        <w:spacing w:before="100" w:after="283"/>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jc w:val="center"/>
        <w:rPr/>
      </w:pPr>
      <w:r>
        <w:rPr/>
        <w:t> </w:t>
      </w:r>
    </w:p>
    <w:p>
      <w:pPr>
        <w:pStyle w:val="TextBody"/>
        <w:bidi w:val="0"/>
        <w:jc w:val="left"/>
        <w:rPr/>
      </w:pPr>
      <w:r>
        <w:rPr/>
        <w:t> </w:t>
      </w:r>
    </w:p>
    <w:tbl>
      <w:tblPr>
        <w:tblW w:w="4112" w:type="dxa"/>
        <w:jc w:val="left"/>
        <w:tblInd w:w="0" w:type="dxa"/>
        <w:tblLayout w:type="fixed"/>
        <w:tblCellMar>
          <w:top w:w="28" w:type="dxa"/>
          <w:left w:w="28" w:type="dxa"/>
          <w:bottom w:w="28" w:type="dxa"/>
          <w:right w:w="28" w:type="dxa"/>
        </w:tblCellMar>
      </w:tblPr>
      <w:tblGrid>
        <w:gridCol w:w="2866"/>
        <w:gridCol w:w="1246"/>
      </w:tblGrid>
      <w:tr>
        <w:trPr/>
        <w:tc>
          <w:tcPr>
            <w:tcW w:w="286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28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83-1381173</w:t>
            </w:r>
          </w:p>
        </w:tc>
      </w:tr>
      <w:tr>
        <w:trPr/>
        <w:tc>
          <w:tcPr>
            <w:tcW w:w="286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(State or other jurisdiction of</w:t>
            </w:r>
          </w:p>
          <w:p>
            <w:pPr>
              <w:pStyle w:val="TableContents"/>
              <w:bidi w:val="0"/>
              <w:spacing w:before="0" w:after="15"/>
              <w:jc w:val="center"/>
              <w:rPr>
                <w:rFonts w:ascii="Times New Roman" w:hAnsi="Times New Roman"/>
                <w:b/>
                <w:color w:val="000000"/>
                <w:sz w:val="14"/>
              </w:rPr>
            </w:pPr>
            <w:r>
              <w:rPr>
                <w:rFonts w:ascii="Times New Roman" w:hAnsi="Times New Roman"/>
                <w:b/>
                <w:color w:val="000000"/>
                <w:sz w:val="14"/>
              </w:rPr>
              <w:t>incorporation or organization)</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(I.R.S. Employer</w:t>
              <w:br/>
              <w:t>Identification No.)</w:t>
            </w:r>
          </w:p>
        </w:tc>
      </w:tr>
      <w:tr>
        <w:trPr/>
        <w:tc>
          <w:tcPr>
            <w:tcW w:w="2866" w:type="dxa"/>
            <w:tcBorders/>
            <w:tcMar>
              <w:top w:w="0" w:type="dxa"/>
              <w:left w:w="0" w:type="dxa"/>
              <w:bottom w:w="0" w:type="dxa"/>
              <w:right w:w="0" w:type="dxa"/>
            </w:tcMar>
            <w:vAlign w:val="center"/>
          </w:tcPr>
          <w:p>
            <w:pPr>
              <w:pStyle w:val="TableContents"/>
              <w:bidi w:val="0"/>
              <w:spacing w:before="100" w:after="15"/>
              <w:jc w:val="center"/>
              <w:rPr>
                <w:rFonts w:ascii="Times New Roman" w:hAnsi="Times New Roman"/>
                <w:b/>
                <w:color w:val="000000"/>
                <w:sz w:val="20"/>
              </w:rPr>
            </w:pPr>
            <w:r>
              <w:rPr>
                <w:rFonts w:ascii="Times New Roman" w:hAnsi="Times New Roman"/>
                <w:b/>
                <w:color w:val="000000"/>
                <w:sz w:val="20"/>
              </w:rPr>
              <w:t>188 East Blaine Street, Suite 350</w:t>
            </w:r>
          </w:p>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Seattle, Washington</w:t>
            </w:r>
          </w:p>
        </w:tc>
        <w:tc>
          <w:tcPr>
            <w:tcW w:w="1246" w:type="dxa"/>
            <w:tcBorders/>
            <w:tcMar>
              <w:top w:w="0" w:type="dxa"/>
              <w:left w:w="0" w:type="dxa"/>
              <w:bottom w:w="0" w:type="dxa"/>
              <w:right w:w="0" w:type="dxa"/>
            </w:tcMar>
            <w:vAlign w:val="center"/>
          </w:tcPr>
          <w:p>
            <w:pPr>
              <w:pStyle w:val="TableContents"/>
              <w:bidi w:val="0"/>
              <w:spacing w:before="100" w:after="283"/>
              <w:jc w:val="center"/>
              <w:rPr>
                <w:rFonts w:ascii="Times New Roman" w:hAnsi="Times New Roman"/>
                <w:b/>
                <w:color w:val="000000"/>
                <w:sz w:val="20"/>
              </w:rPr>
            </w:pPr>
            <w:r>
              <w:rPr>
                <w:rFonts w:ascii="Times New Roman" w:hAnsi="Times New Roman"/>
                <w:b/>
                <w:color w:val="000000"/>
                <w:sz w:val="20"/>
              </w:rPr>
              <w:t>98102</w:t>
            </w:r>
          </w:p>
        </w:tc>
      </w:tr>
      <w:tr>
        <w:trPr/>
        <w:tc>
          <w:tcPr>
            <w:tcW w:w="2866" w:type="dxa"/>
            <w:tcBorders/>
            <w:tcMar>
              <w:top w:w="0" w:type="dxa"/>
              <w:left w:w="0" w:type="dxa"/>
              <w:bottom w:w="0" w:type="dxa"/>
              <w:right w:w="0" w:type="dxa"/>
            </w:tcMar>
            <w:vAlign w:val="center"/>
          </w:tcPr>
          <w:p>
            <w:pPr>
              <w:pStyle w:val="TableContents"/>
              <w:bidi w:val="0"/>
              <w:spacing w:before="0" w:after="15"/>
              <w:jc w:val="center"/>
              <w:rPr>
                <w:rFonts w:ascii="Times New Roman" w:hAnsi="Times New Roman"/>
                <w:b/>
                <w:color w:val="000000"/>
                <w:sz w:val="14"/>
              </w:rPr>
            </w:pPr>
            <w:r>
              <w:rPr>
                <w:rFonts w:ascii="Times New Roman" w:hAnsi="Times New Roman"/>
                <w:b/>
                <w:color w:val="000000"/>
                <w:sz w:val="14"/>
              </w:rPr>
              <w:t>(Address of principal executive offices)</w:t>
            </w:r>
          </w:p>
        </w:tc>
        <w:tc>
          <w:tcPr>
            <w:tcW w:w="1246" w:type="dxa"/>
            <w:tcBorders/>
            <w:tcMar>
              <w:top w:w="0" w:type="dxa"/>
              <w:left w:w="0" w:type="dxa"/>
              <w:bottom w:w="0" w:type="dxa"/>
              <w:right w:w="0" w:type="dxa"/>
            </w:tcMar>
            <w:vAlign w:val="center"/>
          </w:tcPr>
          <w:p>
            <w:pPr>
              <w:pStyle w:val="TableContents"/>
              <w:bidi w:val="0"/>
              <w:spacing w:before="0" w:after="15"/>
              <w:jc w:val="center"/>
              <w:rPr>
                <w:rFonts w:ascii="Times New Roman" w:hAnsi="Times New Roman"/>
                <w:b/>
                <w:color w:val="000000"/>
                <w:sz w:val="14"/>
              </w:rPr>
            </w:pPr>
            <w:r>
              <w:rPr>
                <w:rFonts w:ascii="Times New Roman" w:hAnsi="Times New Roman"/>
                <w:b/>
                <w:color w:val="000000"/>
                <w:sz w:val="14"/>
              </w:rPr>
              <w:t>(Zip Code)</w:t>
            </w:r>
          </w:p>
        </w:tc>
      </w:tr>
      <w:tr>
        <w:trPr/>
        <w:tc>
          <w:tcPr>
            <w:tcW w:w="4112" w:type="dxa"/>
            <w:gridSpan w:val="2"/>
            <w:tcBorders/>
            <w:tcMar>
              <w:top w:w="0" w:type="dxa"/>
              <w:left w:w="0" w:type="dxa"/>
              <w:bottom w:w="0" w:type="dxa"/>
              <w:right w:w="0" w:type="dxa"/>
            </w:tcMar>
            <w:vAlign w:val="center"/>
          </w:tcPr>
          <w:p>
            <w:pPr>
              <w:pStyle w:val="TableContents"/>
              <w:bidi w:val="0"/>
              <w:spacing w:before="100" w:after="283"/>
              <w:jc w:val="center"/>
              <w:rPr/>
            </w:pPr>
            <w:r>
              <w:rPr/>
              <w:t> </w:t>
            </w:r>
          </w:p>
        </w:tc>
      </w:tr>
    </w:tbl>
    <w:p>
      <w:pPr>
        <w:pStyle w:val="TextBody"/>
        <w:bidi w:val="0"/>
        <w:spacing w:before="100" w:after="283"/>
        <w:jc w:val="center"/>
        <w:rPr>
          <w:rFonts w:ascii="Times New Roman" w:hAnsi="Times New Roman"/>
          <w:b/>
          <w:color w:val="000000"/>
          <w:sz w:val="20"/>
        </w:rPr>
      </w:pPr>
      <w:r>
        <w:rPr>
          <w:rFonts w:ascii="Times New Roman" w:hAnsi="Times New Roman"/>
          <w:b/>
          <w:color w:val="000000"/>
          <w:sz w:val="20"/>
        </w:rPr>
        <w:t>Registrant’s telephone number, including area code: (206) 701-7914</w:t>
      </w:r>
    </w:p>
    <w:p>
      <w:pPr>
        <w:pStyle w:val="TextBody"/>
        <w:pBdr>
          <w:bottom w:val="single" w:sz="4" w:space="1" w:color="000000"/>
        </w:pBdr>
        <w:bidi w:val="0"/>
        <w:jc w:val="center"/>
        <w:rPr/>
      </w:pPr>
      <w:r>
        <w:rPr/>
        <w:t> </w:t>
      </w:r>
    </w:p>
    <w:p>
      <w:pPr>
        <w:pStyle w:val="TextBody"/>
        <w:bidi w:val="0"/>
        <w:jc w:val="left"/>
        <w:rPr>
          <w:rFonts w:ascii="Times New Roman" w:hAnsi="Times New Roman"/>
          <w:sz w:val="20"/>
        </w:rPr>
      </w:pPr>
      <w:r>
        <w:rPr>
          <w:rFonts w:ascii="Times New Roman" w:hAnsi="Times New Roman"/>
          <w:color w:val="000000"/>
          <w:sz w:val="18"/>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8350" w:type="dxa"/>
        <w:jc w:val="left"/>
        <w:tblInd w:w="0" w:type="dxa"/>
        <w:tblLayout w:type="fixed"/>
        <w:tblCellMar>
          <w:top w:w="28" w:type="dxa"/>
          <w:left w:w="28" w:type="dxa"/>
          <w:bottom w:w="28" w:type="dxa"/>
          <w:right w:w="28" w:type="dxa"/>
        </w:tblCellMar>
      </w:tblPr>
      <w:tblGrid>
        <w:gridCol w:w="3286"/>
        <w:gridCol w:w="146"/>
        <w:gridCol w:w="1456"/>
        <w:gridCol w:w="146"/>
        <w:gridCol w:w="3316"/>
      </w:tblGrid>
      <w:tr>
        <w:trPr/>
        <w:tc>
          <w:tcPr>
            <w:tcW w:w="3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28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5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Trading 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2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Common Stock, $0.0001 par value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SANA</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20"/>
              </w:rPr>
              <w:t xml:space="preserve">The </w:t>
            </w:r>
            <w:r>
              <w:rPr>
                <w:rFonts w:ascii="Times New Roman" w:hAnsi="Times New Roman"/>
                <w:color w:val="000000"/>
                <w:sz w:val="18"/>
              </w:rPr>
              <w:t>Nasdaq Stock Market LLC</w:t>
            </w:r>
          </w:p>
        </w:tc>
      </w:tr>
    </w:tbl>
    <w:p>
      <w:pPr>
        <w:pStyle w:val="TextBody"/>
        <w:bidi w:val="0"/>
        <w:spacing w:before="100" w:after="283"/>
        <w:jc w:val="left"/>
        <w:rPr>
          <w:rFonts w:ascii="Times New Roman" w:hAnsi="Times New Roman"/>
          <w:sz w:val="20"/>
        </w:rPr>
      </w:pPr>
      <w:r>
        <w:rPr>
          <w:rFonts w:ascii="Times New Roman" w:hAnsi="Times New Roman"/>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100" w:after="283"/>
        <w:jc w:val="left"/>
        <w:rPr>
          <w:rFonts w:ascii="Times New Roman" w:hAnsi="Times New Roman"/>
          <w:sz w:val="20"/>
        </w:rPr>
      </w:pPr>
      <w:r>
        <w:rPr>
          <w:rFonts w:ascii="Times New Roman" w:hAnsi="Times New Roman"/>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100" w:after="283"/>
        <w:jc w:val="left"/>
        <w:rPr>
          <w:rFonts w:ascii="Times New Roman" w:hAnsi="Times New Roman"/>
          <w:color w:val="000000"/>
          <w:sz w:val="18"/>
        </w:rPr>
      </w:pPr>
      <w:r>
        <w:rPr>
          <w:rFonts w:ascii="Times New Roman" w:hAnsi="Times New Roman"/>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5197" w:type="dxa"/>
        <w:jc w:val="left"/>
        <w:tblInd w:w="0" w:type="dxa"/>
        <w:tblLayout w:type="fixed"/>
        <w:tblCellMar>
          <w:top w:w="28" w:type="dxa"/>
          <w:left w:w="28" w:type="dxa"/>
          <w:bottom w:w="28" w:type="dxa"/>
          <w:right w:w="28" w:type="dxa"/>
        </w:tblCellMar>
      </w:tblPr>
      <w:tblGrid>
        <w:gridCol w:w="2056"/>
        <w:gridCol w:w="146"/>
        <w:gridCol w:w="316"/>
        <w:gridCol w:w="146"/>
        <w:gridCol w:w="2026"/>
        <w:gridCol w:w="146"/>
        <w:gridCol w:w="361"/>
      </w:tblGrid>
      <w:tr>
        <w:trPr/>
        <w:tc>
          <w:tcPr>
            <w:tcW w:w="2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17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0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100" w:after="283"/>
        <w:jc w:val="left"/>
        <w:rPr>
          <w:rFonts w:ascii="Times New Roman" w:hAnsi="Times New Roman"/>
          <w:sz w:val="20"/>
        </w:rPr>
      </w:pPr>
      <w:r>
        <w:rPr>
          <w:rFonts w:ascii="Times New Roman" w:hAnsi="Times New Roman"/>
          <w:color w:val="000000"/>
          <w:sz w:val="18"/>
        </w:rPr>
        <w:t xml:space="preserve">Indicate by check mark whether the registrant is a shell company (as defined in Rule 12b-2 of the Exchange Act). Yes </w:t>
      </w:r>
      <w:r>
        <w:rPr>
          <w:rFonts w:ascii="Times New Roman" w:hAnsi="Times New Roman"/>
          <w:color w:val="000000"/>
          <w:sz w:val="20"/>
        </w:rPr>
        <w:t xml:space="preserve">☐ </w:t>
      </w:r>
      <w:r>
        <w:rPr>
          <w:rFonts w:ascii="Times New Roman" w:hAnsi="Times New Roman"/>
          <w:color w:val="000000"/>
          <w:sz w:val="18"/>
        </w:rPr>
        <w:t xml:space="preserve">No </w:t>
      </w:r>
      <w:r>
        <w:rPr>
          <w:rFonts w:ascii="Times New Roman" w:hAnsi="Times New Roman"/>
          <w:color w:val="000000"/>
          <w:sz w:val="20"/>
        </w:rPr>
        <w: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As of April 30, 2026, the registrant had 278,291,590</w:t>
      </w:r>
      <w:r>
        <w:rPr>
          <w:rFonts w:ascii="Times New Roman" w:hAnsi="Times New Roman"/>
          <w:color w:val="000000"/>
          <w:sz w:val="20"/>
        </w:rPr>
        <w:t xml:space="preserve"> </w:t>
      </w:r>
      <w:r>
        <w:rPr>
          <w:rFonts w:ascii="Times New Roman" w:hAnsi="Times New Roman"/>
          <w:color w:val="000000"/>
          <w:sz w:val="18"/>
        </w:rPr>
        <w:t>shares of common stock, $0.0001 par value per share, outstanding.</w:t>
      </w:r>
    </w:p>
    <w:p>
      <w:pPr>
        <w:pStyle w:val="TextBody"/>
        <w:pBdr>
          <w:bottom w:val="double" w:sz="6"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8823" w:type="dxa"/>
        <w:jc w:val="left"/>
        <w:tblInd w:w="0" w:type="dxa"/>
        <w:tblLayout w:type="fixed"/>
        <w:tblCellMar>
          <w:top w:w="28" w:type="dxa"/>
          <w:left w:w="28" w:type="dxa"/>
          <w:bottom w:w="28" w:type="dxa"/>
          <w:right w:w="28" w:type="dxa"/>
        </w:tblCellMar>
      </w:tblPr>
      <w:tblGrid>
        <w:gridCol w:w="886"/>
        <w:gridCol w:w="7366"/>
        <w:gridCol w:w="571"/>
      </w:tblGrid>
      <w:tr>
        <w:trPr/>
        <w:tc>
          <w:tcPr>
            <w:tcW w:w="886"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Page</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_financial_information">
              <w:r>
                <w:rPr>
                  <w:rStyle w:val="InternetLink"/>
                  <w:rFonts w:ascii="Times New Roman" w:hAnsi="Times New Roman"/>
                  <w:b/>
                  <w:color w:val="0000FF"/>
                  <w:sz w:val="20"/>
                  <w:u w:val="single"/>
                </w:rPr>
                <w:t>FINANCIAL INFORMATION</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financial_statements">
              <w:r>
                <w:rPr>
                  <w:rStyle w:val="InternetLink"/>
                  <w:rFonts w:ascii="Times New Roman" w:hAnsi="Times New Roman"/>
                  <w:color w:val="0000FF"/>
                  <w:sz w:val="20"/>
                  <w:u w:val="single"/>
                </w:rPr>
                <w:t>Financial Statements (Unaudited)</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consolidated_balance_sheets">
              <w:r>
                <w:rPr>
                  <w:rStyle w:val="InternetLink"/>
                  <w:rFonts w:ascii="Times New Roman" w:hAnsi="Times New Roman"/>
                  <w:color w:val="0000FF"/>
                  <w:sz w:val="20"/>
                  <w:u w:val="single"/>
                </w:rPr>
                <w:t>Condensed Consolidated Balance Sheets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consolidated_statements_operat">
              <w:r>
                <w:rPr>
                  <w:rStyle w:val="InternetLink"/>
                  <w:rFonts w:ascii="Times New Roman" w:hAnsi="Times New Roman"/>
                  <w:color w:val="0000FF"/>
                  <w:sz w:val="20"/>
                  <w:u w:val="single"/>
                </w:rPr>
                <w:t>Condensed Consolidated Statements of Operations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consolidated_statements_compre">
              <w:r>
                <w:rPr>
                  <w:rStyle w:val="InternetLink"/>
                  <w:rFonts w:ascii="Times New Roman" w:hAnsi="Times New Roman"/>
                  <w:color w:val="0000FF"/>
                  <w:sz w:val="20"/>
                  <w:u w:val="single"/>
                </w:rPr>
                <w:t>Condensed Consolidated Statements of Comprehensive Loss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consolidated_statement_stockho">
              <w:r>
                <w:rPr>
                  <w:rStyle w:val="InternetLink"/>
                  <w:rFonts w:ascii="Times New Roman" w:hAnsi="Times New Roman"/>
                  <w:color w:val="0000FF"/>
                  <w:sz w:val="20"/>
                  <w:u w:val="single"/>
                </w:rPr>
                <w:t>Condensed Consolidated Statements of Stockholders’ Equity</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consolidated_statements_cash_f">
              <w:r>
                <w:rPr>
                  <w:rStyle w:val="InternetLink"/>
                  <w:rFonts w:ascii="Times New Roman" w:hAnsi="Times New Roman"/>
                  <w:color w:val="0000FF"/>
                  <w:sz w:val="20"/>
                  <w:u w:val="single"/>
                </w:rPr>
                <w:t>Condensed Consolidated Statements of Cash Flows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s_to_condensed_consolidated_financia">
              <w:r>
                <w:rPr>
                  <w:rStyle w:val="InternetLink"/>
                  <w:rFonts w:ascii="Times New Roman" w:hAnsi="Times New Roman"/>
                  <w:color w:val="0000FF"/>
                  <w:sz w:val="20"/>
                  <w:u w:val="single"/>
                </w:rPr>
                <w:t>Notes to Condensed Consolidated Financial Statements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managements_discussion_analysis_f">
              <w:r>
                <w:rPr>
                  <w:rStyle w:val="InternetLink"/>
                  <w:rFonts w:ascii="Times New Roman" w:hAnsi="Times New Roman"/>
                  <w:color w:val="0000FF"/>
                  <w:sz w:val="20"/>
                  <w:u w:val="single"/>
                </w:rPr>
                <w:t>Management’s Discussion and Analysis of Financial Condition and Results of Operations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quantitative_qualitative_disclosu">
              <w:r>
                <w:rPr>
                  <w:rStyle w:val="InternetLink"/>
                  <w:rFonts w:ascii="Times New Roman" w:hAnsi="Times New Roman"/>
                  <w:color w:val="0000FF"/>
                  <w:sz w:val="20"/>
                  <w:u w:val="single"/>
                </w:rPr>
                <w:t>Quantitative and Qualitative Disclosures About Market Risk</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controls_procedures">
              <w:r>
                <w:rPr>
                  <w:rStyle w:val="InternetLink"/>
                  <w:rFonts w:ascii="Times New Roman" w:hAnsi="Times New Roman"/>
                  <w:color w:val="0000FF"/>
                  <w:sz w:val="20"/>
                  <w:u w:val="single"/>
                </w:rPr>
                <w:t>Controls and Procedures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_or_information">
              <w:r>
                <w:rPr>
                  <w:rStyle w:val="InternetLink"/>
                  <w:rFonts w:ascii="Times New Roman" w:hAnsi="Times New Roman"/>
                  <w:b/>
                  <w:color w:val="0000FF"/>
                  <w:sz w:val="20"/>
                  <w:u w:val="single"/>
                </w:rPr>
                <w:t>OTHER INFORMATION</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000FF"/>
                  <w:sz w:val="20"/>
                  <w:u w:val="single"/>
                </w:rPr>
                <w:t>Legal Proceedings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Risk Factors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unregistered_sales_equity_securit">
              <w:r>
                <w:rPr>
                  <w:rStyle w:val="InternetLink"/>
                  <w:rFonts w:ascii="Times New Roman" w:hAnsi="Times New Roman"/>
                  <w:color w:val="0000FF"/>
                  <w:sz w:val="20"/>
                  <w:u w:val="single"/>
                </w:rPr>
                <w:t>Unregistered Sales of Equity Securities and Use of Proceeds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defaults_upon_senior_securities">
              <w:r>
                <w:rPr>
                  <w:rStyle w:val="InternetLink"/>
                  <w:rFonts w:ascii="Times New Roman" w:hAnsi="Times New Roman"/>
                  <w:color w:val="0000FF"/>
                  <w:sz w:val="20"/>
                  <w:u w:val="single"/>
                </w:rPr>
                <w:t>Defaults Upon Senior Securities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u w:val="single"/>
                </w:rPr>
                <w:t>Mine Safety Disclosures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_or_information">
              <w:r>
                <w:rPr>
                  <w:rStyle w:val="InternetLink"/>
                  <w:rFonts w:ascii="Times New Roman" w:hAnsi="Times New Roman"/>
                  <w:color w:val="0000FF"/>
                  <w:sz w:val="20"/>
                  <w:u w:val="single"/>
                </w:rPr>
                <w:t>Other Information</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Exhibits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SPECIAL NOTE REGARDING FORWARD-LOOKING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This Quarterly Report on Form 10-Q (Quarterly Report) contains forward-looking statements that involve substantial risks and uncertainties. All statements other than statements of historical facts contained in this Quarterly Report could be deemed forward-looking statements, including those statements highlighted below. In some cases, you can identify these statements by forward-looking words such as “aim,” “anticipate,” “believe,” “continue,” “could,” “estimate,” “expect,” “intend,” “may,” “might,” “plan,” “potential,” “predict,” “should,” “would,” or “will,” the negative of these terms, and other comparable terminology. These forward-looking statements, which are subject to risks, include, but are not limited to, statements about: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expectations regarding the potential market size and size of the potential patient populations for our product candidates and any future product candidates, if approved for commercial use;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clinical and regulatory development plans;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expectations with regard to our preclinical studies, clinical trials, regulatory submissions, and research and development programs, including the impact, timing, and availability of data from such studies and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timing of commencement and advancement of future preclinical studies, clinical trials, and research and development programs;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acquire, discover, and develop product candidates and timely advance them into and through clinical data readouts and successful completion of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expectations regarding the potential safety, efficacy, or clinical utility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expectations regarding our business strategy following the implementation of portfolio prioritizations and adjustments in our business strategy, including with respect to our research and development focus on our remaining programs;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intentions with respect to and our ability to establish collaborations or partnerships;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timing or likelihood of regulatory filings and approvals for our product candidates, including regulatory submissions for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commercialization, marketing, and manufacturing expectations, including with respect to our manufacturing capabilities and the timing thereof;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impact of future regulatory, judicial, legislative, or other governmental changes or developments in the United States and foreign countries;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intentions with respect to the commercialization of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pricing and reimbursement of our product candidates, if approved;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implementation of our business model and strategic plans for our business and product candidates, including additional indications that we may pursue;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effectively manage our future operations, including our ability to retain and recruit personnel and maintain our culture;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scope of protection we are able to establish and maintain for intellectual property rights covering our product candidates and technologies, including the projected terms of patent protection;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estimates of our expenses, future revenue, capital requirements, needs for additional financing, and ability to obtain additional capital;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financial condition, including the sufficiency of our existing cash, cash equivalents, and marketable securities to finance all of our operations, and our ability to continue as a going concern;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expectations with respect to our facilities and associated lease agreements;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performance of suppliers, manufacturers, and other third parties we may engage;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future financial performance;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expectations regarding the duration for which we will be an emerging growth company under the Jumpstart Our Business Startups Act of 2012 (JOBS Act);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developments and projections relating to our competitors and our industry, including competing products.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have based these forward-looking statements largely on our current expectations, estimates, forecasts, and projections about future events, our business, the industry in which we operate, and financial trends that we believe may affect our financial condition, results of operations, business strategy, and financial needs. In light of the significant uncertainties in these forward-looking statements, you should not rely upon forward-looking statements as predictions of future events. Although we believe that we have a reasonable basis for each forward-looking statement contained in this Quarterly Report, we cannot guarantee that the future results, levels of activity, performance, or events and circumstances reflected in the forward-looking statements will be achieved or occur in a timely manner or at all. You should refer to the sections titled “Risk Factors” and “Management’s Discussion and Analysis of Financial Condition and Results of Operations” for a discussion of important factors that may cause our actual results to differ materially from those expressed or implied by our forward-looking statements. Other sections of this Quarterly Report may include additional factors that could harm our business and financial performance. New risk factors may emerge from time to time, and it is not possible for our management to predict all risk factors, nor can we assess the impact of all factors on our business or the extent to which any factor, or combination of factors, may cause actual results to differ materially from those contained in, or implied by, any forward-looking statements. Except as required by law, we undertake no obligation to publicly update any forward-looking statements, whether as a result of new information, future events, or otherwise.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statements that “we believe” and similar statements reflect our beliefs and opinions on the relevant subject. These statements are based upon information available to us as of the date of this Quarterly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should not unduly rely upon these statements.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u w:val="single"/>
        </w:rPr>
      </w:pPr>
      <w:bookmarkStart w:id="2" w:name="part_i_financial_information"/>
      <w:bookmarkEnd w:id="2"/>
      <w:r>
        <w:rPr>
          <w:rFonts w:ascii="Times New Roman" w:hAnsi="Times New Roman"/>
          <w:b/>
          <w:color w:val="000000"/>
          <w:sz w:val="20"/>
          <w:u w:val="single"/>
        </w:rPr>
        <w:t>PART I. FINANCIAL INFORMATION</w:t>
      </w:r>
    </w:p>
    <w:p>
      <w:pPr>
        <w:pStyle w:val="TextBody"/>
        <w:bidi w:val="0"/>
        <w:spacing w:before="120" w:after="283"/>
        <w:jc w:val="left"/>
        <w:rPr>
          <w:rFonts w:ascii="Times New Roman" w:hAnsi="Times New Roman"/>
          <w:b/>
          <w:color w:val="000000"/>
          <w:sz w:val="20"/>
        </w:rPr>
      </w:pPr>
      <w:bookmarkStart w:id="3" w:name="item_1_financial_statements"/>
      <w:bookmarkEnd w:id="3"/>
      <w:r>
        <w:rPr>
          <w:rFonts w:ascii="Times New Roman" w:hAnsi="Times New Roman"/>
          <w:b/>
          <w:color w:val="000000"/>
          <w:sz w:val="20"/>
        </w:rPr>
        <w:t>Item 1.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Sana Biotechnology, Inc.</w:t>
      </w:r>
    </w:p>
    <w:p>
      <w:pPr>
        <w:pStyle w:val="Heading1"/>
        <w:bidi w:val="0"/>
        <w:jc w:val="center"/>
        <w:rPr>
          <w:rFonts w:ascii="Times New Roman" w:hAnsi="Times New Roman"/>
          <w:color w:val="000000"/>
          <w:sz w:val="20"/>
        </w:rPr>
      </w:pPr>
      <w:bookmarkStart w:id="4" w:name="condensed_consolidated_balance_sheets"/>
      <w:bookmarkEnd w:id="4"/>
      <w:r>
        <w:rPr>
          <w:rFonts w:ascii="Times New Roman" w:hAnsi="Times New Roman"/>
          <w:color w:val="000000"/>
          <w:sz w:val="20"/>
        </w:rPr>
        <w:t>Condensed Consolidated Balance Sheets</w:t>
      </w:r>
    </w:p>
    <w:p>
      <w:pPr>
        <w:pStyle w:val="Heading1"/>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per share amounts)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612"/>
        <w:gridCol w:w="146"/>
        <w:gridCol w:w="214"/>
        <w:gridCol w:w="1009"/>
        <w:gridCol w:w="166"/>
        <w:gridCol w:w="146"/>
        <w:gridCol w:w="231"/>
        <w:gridCol w:w="1087"/>
        <w:gridCol w:w="594"/>
      </w:tblGrid>
      <w:tr>
        <w:trPr/>
        <w:tc>
          <w:tcPr>
            <w:tcW w:w="66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r>
      <w:tr>
        <w:trPr/>
        <w:tc>
          <w:tcPr>
            <w:tcW w:w="66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1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83,800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71,870</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66,512</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4,195</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6,099</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61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111,690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148,676</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26,906</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38,313</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59,195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59,195</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140,627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140,627</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3,173</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373,593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416,890</w:t>
            </w:r>
          </w:p>
        </w:tc>
        <w:tc>
          <w:tcPr>
            <w:tcW w:w="5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6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1,669</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13,240</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8,679</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14,938</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Contingent consideration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53,556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40,200</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61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86,265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78,726</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 net of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63,924</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Contingent consideration, net of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80,907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83,518</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Success payment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19,238</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9,805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10,600</w:t>
            </w:r>
          </w:p>
        </w:tc>
        <w:tc>
          <w:tcPr>
            <w:tcW w:w="59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61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254,353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256,006</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Commitments and contingencies (Note 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Preferred stock, $0.0001 par value; 50,000 shares authorized; zero shares issued and outstanding as of March 31, 2026 and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$0.0001 par value; 750,000 shares authorized; 269,817 and 266,732 shares issued and outstanding as of March 31, 2026 and December 31, 2025,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2,015,441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2,009,845</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other comprehensive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(1,896,226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(1,849,016</w:t>
            </w:r>
          </w:p>
        </w:tc>
        <w:tc>
          <w:tcPr>
            <w:tcW w:w="5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6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119,240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160,884</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373,593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416,890</w:t>
            </w:r>
          </w:p>
        </w:tc>
        <w:tc>
          <w:tcPr>
            <w:tcW w:w="5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See accompanying notes.</w:t>
      </w:r>
    </w:p>
    <w:p>
      <w:pPr>
        <w:pStyle w:val="TextBody"/>
        <w:bidi w:val="0"/>
        <w:jc w:val="center"/>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Sana Biotechnology, Inc.</w:t>
      </w:r>
    </w:p>
    <w:p>
      <w:pPr>
        <w:pStyle w:val="TextBody"/>
        <w:bidi w:val="0"/>
        <w:jc w:val="center"/>
        <w:rPr>
          <w:rFonts w:ascii="Times New Roman" w:hAnsi="Times New Roman"/>
          <w:b/>
          <w:color w:val="000000"/>
          <w:sz w:val="20"/>
        </w:rPr>
      </w:pPr>
      <w:bookmarkStart w:id="5" w:name="condensed_consolidated_statements_operat"/>
      <w:bookmarkEnd w:id="5"/>
      <w:r>
        <w:rPr>
          <w:rFonts w:ascii="Times New Roman" w:hAnsi="Times New Roman"/>
          <w:b/>
          <w:color w:val="000000"/>
          <w:sz w:val="20"/>
        </w:rPr>
        <w:t>Condensed Consolidated Statements of Operations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per share amounts)</w:t>
      </w:r>
    </w:p>
    <w:p>
      <w:pPr>
        <w:pStyle w:val="TextBody"/>
        <w:bidi w:val="0"/>
        <w:jc w:val="left"/>
        <w:rPr/>
      </w:pPr>
      <w:r>
        <w:rPr/>
        <w:t> </w:t>
      </w:r>
    </w:p>
    <w:tbl>
      <w:tblPr>
        <w:tblW w:w="10145" w:type="dxa"/>
        <w:jc w:val="left"/>
        <w:tblInd w:w="0" w:type="dxa"/>
        <w:tblLayout w:type="fixed"/>
        <w:tblCellMar>
          <w:top w:w="28" w:type="dxa"/>
          <w:left w:w="28" w:type="dxa"/>
          <w:bottom w:w="28" w:type="dxa"/>
          <w:right w:w="28" w:type="dxa"/>
        </w:tblCellMar>
      </w:tblPr>
      <w:tblGrid>
        <w:gridCol w:w="7011"/>
        <w:gridCol w:w="146"/>
        <w:gridCol w:w="220"/>
        <w:gridCol w:w="816"/>
        <w:gridCol w:w="173"/>
        <w:gridCol w:w="152"/>
        <w:gridCol w:w="220"/>
        <w:gridCol w:w="816"/>
        <w:gridCol w:w="591"/>
      </w:tblGrid>
      <w:tr>
        <w:trPr/>
        <w:tc>
          <w:tcPr>
            <w:tcW w:w="7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70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28,719</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37,189</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 related success payments and contingent consideration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8,433</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1,957</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11,462</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11,484</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0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81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48,614</w:t>
            </w:r>
          </w:p>
        </w:tc>
        <w:tc>
          <w:tcPr>
            <w:tcW w:w="173"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52"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20"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81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50,630</w:t>
            </w:r>
          </w:p>
        </w:tc>
        <w:tc>
          <w:tcPr>
            <w:tcW w:w="59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r>
      <w:tr>
        <w:trPr/>
        <w:tc>
          <w:tcPr>
            <w:tcW w:w="7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(48,614</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(50,630</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951</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992</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(47,210</w:t>
            </w:r>
          </w:p>
        </w:tc>
        <w:tc>
          <w:tcPr>
            <w:tcW w:w="1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(49,389</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common share –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(0.17</w:t>
            </w:r>
          </w:p>
        </w:tc>
        <w:tc>
          <w:tcPr>
            <w:tcW w:w="1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(0.21</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number of common shares –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276,856</w:t>
            </w:r>
          </w:p>
        </w:tc>
        <w:tc>
          <w:tcPr>
            <w:tcW w:w="1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237,578</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i/>
          <w:color w:val="000000"/>
          <w:sz w:val="20"/>
        </w:rPr>
        <w:t>See accompanying notes.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Sana Biotechnology, Inc.</w:t>
      </w:r>
    </w:p>
    <w:p>
      <w:pPr>
        <w:pStyle w:val="TextBody"/>
        <w:bidi w:val="0"/>
        <w:jc w:val="center"/>
        <w:rPr>
          <w:rFonts w:ascii="Times New Roman" w:hAnsi="Times New Roman"/>
          <w:b/>
          <w:color w:val="000000"/>
          <w:sz w:val="20"/>
        </w:rPr>
      </w:pPr>
      <w:bookmarkStart w:id="6" w:name="condensed_consolidated_statements_compre"/>
      <w:bookmarkEnd w:id="6"/>
      <w:r>
        <w:rPr>
          <w:rFonts w:ascii="Times New Roman" w:hAnsi="Times New Roman"/>
          <w:b/>
          <w:color w:val="000000"/>
          <w:sz w:val="20"/>
        </w:rPr>
        <w:t>Condensed Consolidated Statements of Comprehensive Loss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center"/>
        <w:rPr/>
      </w:pPr>
      <w:r>
        <w:rPr/>
        <w:t> </w:t>
      </w:r>
    </w:p>
    <w:tbl>
      <w:tblPr>
        <w:tblW w:w="6956" w:type="dxa"/>
        <w:jc w:val="left"/>
        <w:tblInd w:w="0" w:type="dxa"/>
        <w:tblLayout w:type="fixed"/>
        <w:tblCellMar>
          <w:top w:w="28" w:type="dxa"/>
          <w:left w:w="28" w:type="dxa"/>
          <w:bottom w:w="28" w:type="dxa"/>
          <w:right w:w="28" w:type="dxa"/>
        </w:tblCellMar>
      </w:tblPr>
      <w:tblGrid>
        <w:gridCol w:w="3921"/>
        <w:gridCol w:w="246"/>
        <w:gridCol w:w="229"/>
        <w:gridCol w:w="801"/>
        <w:gridCol w:w="180"/>
        <w:gridCol w:w="158"/>
        <w:gridCol w:w="229"/>
        <w:gridCol w:w="801"/>
        <w:gridCol w:w="391"/>
      </w:tblGrid>
      <w:tr>
        <w:trPr/>
        <w:tc>
          <w:tcPr>
            <w:tcW w:w="392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9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(47,210</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(49,389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loss: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Unrealized loss on marketable securities, net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comprehensive loss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(47,240</w:t>
            </w:r>
          </w:p>
        </w:tc>
        <w:tc>
          <w:tcPr>
            <w:tcW w:w="1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(49,403</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See accompanying notes.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Sana Biotechnology, Inc.</w:t>
      </w:r>
    </w:p>
    <w:p>
      <w:pPr>
        <w:pStyle w:val="TextBody"/>
        <w:bidi w:val="0"/>
        <w:jc w:val="center"/>
        <w:rPr/>
      </w:pPr>
      <w:r>
        <w:rPr/>
        <w:t> </w:t>
      </w:r>
    </w:p>
    <w:p>
      <w:pPr>
        <w:pStyle w:val="TextBody"/>
        <w:bidi w:val="0"/>
        <w:jc w:val="center"/>
        <w:rPr>
          <w:rFonts w:ascii="Times New Roman" w:hAnsi="Times New Roman"/>
          <w:b/>
          <w:color w:val="000000"/>
          <w:sz w:val="20"/>
        </w:rPr>
      </w:pPr>
      <w:bookmarkStart w:id="7" w:name="condensed_consolidated_statement_stockho"/>
      <w:bookmarkEnd w:id="7"/>
      <w:r>
        <w:rPr>
          <w:rFonts w:ascii="Times New Roman" w:hAnsi="Times New Roman"/>
          <w:b/>
          <w:color w:val="000000"/>
          <w:sz w:val="20"/>
        </w:rPr>
        <w:t>Condensed Consolidated Statements of Stockholders’ Equity</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2876"/>
        <w:gridCol w:w="146"/>
        <w:gridCol w:w="146"/>
        <w:gridCol w:w="691"/>
        <w:gridCol w:w="146"/>
        <w:gridCol w:w="146"/>
        <w:gridCol w:w="232"/>
        <w:gridCol w:w="339"/>
        <w:gridCol w:w="146"/>
        <w:gridCol w:w="146"/>
        <w:gridCol w:w="196"/>
        <w:gridCol w:w="826"/>
        <w:gridCol w:w="166"/>
        <w:gridCol w:w="146"/>
        <w:gridCol w:w="369"/>
        <w:gridCol w:w="652"/>
        <w:gridCol w:w="166"/>
        <w:gridCol w:w="146"/>
        <w:gridCol w:w="196"/>
        <w:gridCol w:w="886"/>
        <w:gridCol w:w="166"/>
        <w:gridCol w:w="146"/>
        <w:gridCol w:w="202"/>
        <w:gridCol w:w="715"/>
        <w:gridCol w:w="213"/>
      </w:tblGrid>
      <w:tr>
        <w:trPr/>
        <w:tc>
          <w:tcPr>
            <w:tcW w:w="28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8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Additional</w:t>
              <w:b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br/>
              <w:t>Other</w:t>
              <w:b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br/>
              <w:t>Stockholders'</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Income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Equity</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266,732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2,009,845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(1,849,016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160,884</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Fees incurred related to common stock financings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8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Exercise of pre-funded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Vesting of restricted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5,662</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Unrealized loss on marketable </w:t>
              <w:br/>
              <w:t>securities,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8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(47,210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(47,210</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8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as of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269,817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2,015,441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(1,896,226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119,240</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2653"/>
        <w:gridCol w:w="146"/>
        <w:gridCol w:w="146"/>
        <w:gridCol w:w="691"/>
        <w:gridCol w:w="146"/>
        <w:gridCol w:w="146"/>
        <w:gridCol w:w="232"/>
        <w:gridCol w:w="339"/>
        <w:gridCol w:w="146"/>
        <w:gridCol w:w="146"/>
        <w:gridCol w:w="196"/>
        <w:gridCol w:w="826"/>
        <w:gridCol w:w="166"/>
        <w:gridCol w:w="146"/>
        <w:gridCol w:w="369"/>
        <w:gridCol w:w="652"/>
        <w:gridCol w:w="166"/>
        <w:gridCol w:w="146"/>
        <w:gridCol w:w="196"/>
        <w:gridCol w:w="886"/>
        <w:gridCol w:w="166"/>
        <w:gridCol w:w="146"/>
        <w:gridCol w:w="252"/>
        <w:gridCol w:w="889"/>
        <w:gridCol w:w="212"/>
      </w:tblGrid>
      <w:tr>
        <w:trPr/>
        <w:tc>
          <w:tcPr>
            <w:tcW w:w="26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26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Additional</w:t>
              <w:b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br/>
              <w:t>Other</w:t>
              <w:b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 Stockholders'</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Equity</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as of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223,923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1,855,318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(1,604,850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250,504</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Fees incurred related to common stock financings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(171</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6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Vesting of restricted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1,127</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7,022</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Unrealized loss on marketable </w:t>
              <w:br/>
              <w:t>securities,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6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(49,389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(49,389</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6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as of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225,463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1,863,295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(1,654,239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209,079</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See accompanying notes.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Sana Biotechnology, Inc.</w:t>
      </w:r>
    </w:p>
    <w:p>
      <w:pPr>
        <w:pStyle w:val="TextBody"/>
        <w:bidi w:val="0"/>
        <w:jc w:val="center"/>
        <w:rPr>
          <w:rFonts w:ascii="Times New Roman" w:hAnsi="Times New Roman"/>
          <w:b/>
          <w:color w:val="000000"/>
          <w:sz w:val="20"/>
        </w:rPr>
      </w:pPr>
      <w:bookmarkStart w:id="8" w:name="condensed_consolidated_statements_cash_f"/>
      <w:bookmarkEnd w:id="8"/>
      <w:r>
        <w:rPr>
          <w:rFonts w:ascii="Times New Roman" w:hAnsi="Times New Roman"/>
          <w:b/>
          <w:color w:val="000000"/>
          <w:sz w:val="20"/>
        </w:rPr>
        <w:t>Condensed Consolidated Statements of Cash Flows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center"/>
        <w:rPr/>
      </w:pPr>
      <w:r>
        <w:rPr/>
        <w:t> </w:t>
      </w:r>
    </w:p>
    <w:tbl>
      <w:tblPr>
        <w:tblW w:w="9593" w:type="dxa"/>
        <w:jc w:val="left"/>
        <w:tblInd w:w="0" w:type="dxa"/>
        <w:tblLayout w:type="fixed"/>
        <w:tblCellMar>
          <w:top w:w="28" w:type="dxa"/>
          <w:left w:w="28" w:type="dxa"/>
          <w:bottom w:w="28" w:type="dxa"/>
          <w:right w:w="28" w:type="dxa"/>
        </w:tblCellMar>
      </w:tblPr>
      <w:tblGrid>
        <w:gridCol w:w="6436"/>
        <w:gridCol w:w="146"/>
        <w:gridCol w:w="225"/>
        <w:gridCol w:w="785"/>
        <w:gridCol w:w="177"/>
        <w:gridCol w:w="155"/>
        <w:gridCol w:w="225"/>
        <w:gridCol w:w="833"/>
        <w:gridCol w:w="611"/>
      </w:tblGrid>
      <w:tr>
        <w:trPr/>
        <w:tc>
          <w:tcPr>
            <w:tcW w:w="6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64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4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(47,210</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(49,389</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to reconcile net loss to net cash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4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2,391</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3,649</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5,662</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7,022</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the estimated fair value of contingent consideration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10,745</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1,864</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the estimated fair value of success payment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(2,312</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Non-cash expense for operating lease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2,468</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2,233</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non-cash items,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(2,615</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4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Changes in operating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43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Prepaid expenses and 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1,628</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1,368</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43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Operating lease right-of-use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(1,496</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891</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43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(4,224</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43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Accrued expenses and 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(7,094</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(8,893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4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(37,379</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(48,657</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4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Purchases of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(5,588</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(1,682</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4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maturities of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55,065</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18,168</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Purchases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4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disposal of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cash provided by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85"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49,437</w:t>
            </w:r>
          </w:p>
        </w:tc>
        <w:tc>
          <w:tcPr>
            <w:tcW w:w="177"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55"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25"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833"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16,603</w:t>
            </w:r>
          </w:p>
        </w:tc>
        <w:tc>
          <w:tcPr>
            <w:tcW w:w="6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r>
      <w:tr>
        <w:trPr/>
        <w:tc>
          <w:tcPr>
            <w:tcW w:w="64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employee stock purchase plan and 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1,127</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Fees related to common stock financings,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payments, net for tenant improvement loan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4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cash provided by (used in)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85"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w:t>
            </w:r>
          </w:p>
        </w:tc>
        <w:tc>
          <w:tcPr>
            <w:tcW w:w="177"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25"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833"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982</w:t>
            </w:r>
          </w:p>
        </w:tc>
        <w:tc>
          <w:tcPr>
            <w:tcW w:w="6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r>
      <w:tr>
        <w:trPr/>
        <w:tc>
          <w:tcPr>
            <w:tcW w:w="6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increase (decrease) in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11,930</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(31,072</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4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at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76,065</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131,398</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at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87,995</w:t>
            </w:r>
          </w:p>
        </w:tc>
        <w:tc>
          <w:tcPr>
            <w:tcW w:w="1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100,326</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4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SUPPLEMENTAL CASH FLOW INFORMATION: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received for tenant improvement allowances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891</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See accompanying notes.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Sana Biotechnology, Inc.</w:t>
      </w:r>
    </w:p>
    <w:p>
      <w:pPr>
        <w:pStyle w:val="TextBody"/>
        <w:bidi w:val="0"/>
        <w:jc w:val="center"/>
        <w:rPr>
          <w:rFonts w:ascii="Times New Roman" w:hAnsi="Times New Roman"/>
          <w:b/>
          <w:color w:val="000000"/>
          <w:sz w:val="20"/>
        </w:rPr>
      </w:pPr>
      <w:bookmarkStart w:id="9" w:name="notes_to_condensed_consolidated_financia"/>
      <w:bookmarkEnd w:id="9"/>
      <w:r>
        <w:rPr>
          <w:rFonts w:ascii="Times New Roman" w:hAnsi="Times New Roman"/>
          <w:b/>
          <w:color w:val="000000"/>
          <w:sz w:val="20"/>
        </w:rPr>
        <w:t>Notes to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Heading1"/>
        <w:bidi w:val="0"/>
        <w:spacing w:before="120" w:after="283"/>
        <w:jc w:val="left"/>
        <w:rPr>
          <w:rFonts w:ascii="Times New Roman" w:hAnsi="Times New Roman"/>
          <w:color w:val="000000"/>
          <w:sz w:val="20"/>
        </w:rPr>
      </w:pPr>
      <w:r>
        <w:rPr>
          <w:rFonts w:ascii="Times New Roman" w:hAnsi="Times New Roman"/>
          <w:color w:val="000000"/>
          <w:sz w:val="20"/>
        </w:rPr>
        <w:t xml:space="preserve">1. Organization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Sana Biotechnology, Inc. (the Company or Sana) is a biotechnology company focusing on utilizing engineered cells as medicines. The Company’s operations to date have included identifying and developing potential product candidates, executing preclinical studies, establishing manufacturing capabilities, preparing for and executing clinical trials of its product candidates and supporting clinical trials of product candidates developed using its technologies, acquiring technologies, staffing the Company, business planning, establishing and maintaining the Company’s intellectual property portfolio, raising capital, and providing general and administrative support for these operations. </w:t>
      </w:r>
    </w:p>
    <w:p>
      <w:pPr>
        <w:pStyle w:val="Heading2"/>
        <w:bidi w:val="0"/>
        <w:spacing w:before="360" w:after="283"/>
        <w:jc w:val="left"/>
        <w:rPr>
          <w:rFonts w:ascii="Times New Roman" w:hAnsi="Times New Roman"/>
          <w:i/>
          <w:color w:val="000000"/>
          <w:sz w:val="20"/>
        </w:rPr>
      </w:pPr>
      <w:r>
        <w:rPr>
          <w:rFonts w:ascii="Times New Roman" w:hAnsi="Times New Roman"/>
          <w:i/>
          <w:color w:val="000000"/>
          <w:sz w:val="20"/>
        </w:rPr>
        <w:t>Liquidity and capital resources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is subject to a number of risks and uncertainties similar to other biotechnology companies in the development stage, including, but not limited to, those related to the need to obtain adequate additional funding, possible failure of preclinical testing or clinical trials, the need to obtain marketing approval for its product candidates, building its manufacturing capabilities, competitors developing new technological innovations, the need to successfully commercialize and gain market acceptance of the Company’s products, the need to protect the Company’s intellectual property and proprietary technologies, and the need to attract and retain key scientific and management personnel. If the Company does not successfully commercialize or partner any of its product candidates, it will be unable to generate product revenue or achieve profitability. Until such time as the Company can generate significant revenue from product sales, if ever, it expects to finance its operations with the proceeds from additional equity or debt financings or capital obtained in connection with strategic collaborations or licensing or other arrangements. If additional financing is required, the Company may not be able to raise capital on terms acceptable to it or at all.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March 2026, the Company entered into an amended and restated sales agreement (the Sales Agreement) with TD Securities (USA) LLC (TD Cowen), acting as sales agent, pursuant to which the Company may offer and sell through TD Cowen shares of the Company's common stock from time to time in a series of one or more at the market equity offerings, and filed a prospectus supplement with the Securities and Exchange Commission (SEC) pursuant to which it may offer and sell up to $150.0 million of shares of the Company's common stock pursuant to the Sales Agreement (collectively, the ATM facility). The Sales Agreement amends and restates the Company's prior sales agreement with TD Cowen entered into in May 2025 (the Prior Sales Agreement). During the quarter ended March 31, 2026, the Company did not sell any shares of its common stock under the Prior Sales Agreement or the Sales Agreement.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August 2025, the Company completed an underwritten public offering pursuant to which it sold 24.3 million shares of its common stock, including 3.4 million shares pursuant to the full exercise of the underwriters' option to purchase additional shares, and pre-funded warrants to purchase 1.5 million shares of its common stock for net proceeds of approximately $80.6 million, after deducting underwriting discounts and commissions and offering expenses.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has incurred operating losses each year since inception and expects such losses to continue for the foreseeable future. As of March 31, 2026, the Company had cash, cash equivalents, and marketable securities of $101.1 million, and an accumulated deficit of $1.9 billion, which includes cumulative non-cash charges related to the revaluation of success payment liabilities and contingent consideration of $14.5 million and $83.2 million, respectively. Management has determined that the Company’s current capital resources may not be sufficient to fund its planned operations for at least one year from the date of this Quarterly Report, and there is substantial doubt as to the Company's ability to continue as a going concern. The Company's ability to continue as a going concern will depend on, among other things, its ability to obtain additional funding and appropriately manage the amount of cash used to fund its operations. The Company plans to address this condition through equity or debt offerings or capital obtained in connection with strategic collaborations or licensing or other arrangements. If the Company is unable to obtain such financing, it may be required to pursue alternative sources of capital which may not be available to it on favorable terms, if at all, or significantly modify its operational plans by delaying, reducing the scope of, or ceasing some or all of its research and development programs, or pursue strategic alternatives.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spacing w:before="360" w:after="283"/>
        <w:jc w:val="left"/>
        <w:rPr>
          <w:rFonts w:ascii="Times New Roman" w:hAnsi="Times New Roman"/>
          <w:color w:val="000000"/>
          <w:sz w:val="20"/>
        </w:rPr>
      </w:pPr>
      <w:r>
        <w:rPr>
          <w:rFonts w:ascii="Times New Roman" w:hAnsi="Times New Roman"/>
          <w:color w:val="000000"/>
          <w:sz w:val="20"/>
        </w:rPr>
        <w:t>2. Summary of significant accounting policies</w:t>
      </w:r>
    </w:p>
    <w:p>
      <w:pPr>
        <w:pStyle w:val="Heading2"/>
        <w:bidi w:val="0"/>
        <w:spacing w:before="120" w:after="283"/>
        <w:jc w:val="left"/>
        <w:rPr>
          <w:rFonts w:ascii="Times New Roman" w:hAnsi="Times New Roman"/>
          <w:sz w:val="20"/>
        </w:rPr>
      </w:pPr>
      <w:r>
        <w:rPr>
          <w:rFonts w:ascii="Times New Roman" w:hAnsi="Times New Roman"/>
          <w:i/>
          <w:color w:val="000000"/>
          <w:sz w:val="20"/>
        </w:rPr>
        <w:t>Basis of presentation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accompanying condensed consolidated financial statements include the accounts of the Company and its wholly-owned subsidiaries and have been prepared in accordance with generally accepted accounting principles in the United States (GAAP). Certain prior period amounts have been reclassified to conform to current period presentation.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condensed consolidated financial statements should be read in conjunction with the audited consolidated financial statements and notes included in the Company’s Annual Report on Form 10-K for the year ended December 31, 2025 filed with the SEC on March 3, 2026 (2025 Annual Report).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Significant accounting policies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significant accounting policies used in the preparation of these condensed consolidated financial statements as of March 31, 2026 and for the three months ended March 31, 2026 and 2025 are consistent with those discussed in Note 2 of the 2025 Annual Report. </w:t>
      </w:r>
    </w:p>
    <w:p>
      <w:pPr>
        <w:pStyle w:val="Heading2"/>
        <w:bidi w:val="0"/>
        <w:spacing w:before="360" w:after="283"/>
        <w:jc w:val="left"/>
        <w:rPr>
          <w:rFonts w:ascii="Times New Roman" w:hAnsi="Times New Roman"/>
          <w:sz w:val="20"/>
        </w:rPr>
      </w:pPr>
      <w:r>
        <w:rPr>
          <w:rFonts w:ascii="Times New Roman" w:hAnsi="Times New Roman"/>
          <w:i/>
          <w:color w:val="000000"/>
          <w:sz w:val="20"/>
        </w:rPr>
        <w:t>Use of estimates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preparation of financial statements in conformity with GAAP requires management to make estimates and assumptions that affect the amounts reported in the financial statements and accompanying notes. The Company evaluates its estimates and assumptions on an ongoing basis using historical experience and other factors and adjusts those estimates and assumptions when facts and circumstances dictate. Actual results could materially differ from those estimates. The most significant estimates in the Company’s condensed consolidated financial statements relate to success payment liabilities, contingent consideration, business combinations, accrued expenses, and operating lease right-of-use (ROU) assets and liabilities. </w:t>
      </w:r>
    </w:p>
    <w:p>
      <w:pPr>
        <w:pStyle w:val="Heading2"/>
        <w:bidi w:val="0"/>
        <w:spacing w:before="360" w:after="283"/>
        <w:jc w:val="left"/>
        <w:rPr>
          <w:rFonts w:ascii="Times New Roman" w:hAnsi="Times New Roman"/>
          <w:sz w:val="20"/>
        </w:rPr>
      </w:pPr>
      <w:r>
        <w:rPr>
          <w:rFonts w:ascii="Times New Roman" w:hAnsi="Times New Roman"/>
          <w:i/>
          <w:color w:val="000000"/>
          <w:sz w:val="20"/>
        </w:rPr>
        <w:t>Recent accounting pronouncements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new accounting pronouncements are issued by the Financial Accounting Standards Board (FASB) or other standard-setting bodies that the Company adopts as of the specified effective date. Unless otherwise discussed, the Company does not believe that the adoption of any recently issued standards has had or may have a material impact on its condensed consolidated financial statements or disclosures.</w:t>
      </w:r>
    </w:p>
    <w:p>
      <w:pPr>
        <w:pStyle w:val="TextBody"/>
        <w:bidi w:val="0"/>
        <w:spacing w:before="240" w:after="160"/>
        <w:jc w:val="left"/>
        <w:rPr>
          <w:rFonts w:ascii="Times New Roman" w:hAnsi="Times New Roman"/>
          <w:color w:val="000000"/>
          <w:sz w:val="20"/>
        </w:rPr>
      </w:pPr>
      <w:r>
        <w:rPr>
          <w:rFonts w:ascii="Times New Roman" w:hAnsi="Times New Roman"/>
          <w:color w:val="000000"/>
          <w:sz w:val="20"/>
        </w:rPr>
        <w:t>In December 2025, the FASB issued ASU 2025</w:t>
        <w:noBreakHyphen/>
        <w:t>12 Codification Improvements, which includes amendments intended to clarify, correct, or improve various topics in the FASB Accounting Standards Codification. This ASU is effective for annual reporting periods beginning after December 15, 2026, and interim periods within those annual reporting periods. Early adoption is permitted. The Company is currently evaluating the impact of ASU 2025-12, however, adoption of this ASU is not expected to have a material impact on the Company’s consolidated financial statements or related disclosures.</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In November 2024, the FASB issued ASU 2024-03 Income Statement (Subtopic 220-40) Reporting Comprehensive Income – Expense Disaggregation Disclosures, which requires disclosure of disaggregated information about specific income statement expense categories. This ASU is effective for annual reporting periods beginning after December 15, 2026, and interim periods beginning after December 15, 2027. Early adoption is permitted. Adoption of this ASU had no impact on the Company's consolidated financial statements or the Company's reportable segment identified. Additional required disclosures have been included in Note 3, Segment reporting.</w:t>
      </w:r>
    </w:p>
    <w:p>
      <w:pPr>
        <w:pStyle w:val="Heading1"/>
        <w:bidi w:val="0"/>
        <w:spacing w:before="360" w:after="283"/>
        <w:jc w:val="left"/>
        <w:rPr>
          <w:rFonts w:ascii="Times New Roman" w:hAnsi="Times New Roman"/>
          <w:color w:val="000000"/>
          <w:sz w:val="20"/>
        </w:rPr>
      </w:pPr>
      <w:r>
        <w:rPr>
          <w:rFonts w:ascii="Times New Roman" w:hAnsi="Times New Roman"/>
          <w:color w:val="000000"/>
          <w:sz w:val="20"/>
        </w:rPr>
        <w:t>3. Segment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Operating segments are identified as components of an enterprise about which separate discrete financial information is available for evaluation by the chief operating decision-maker (CODM), the Company's Chief Executive Officer, in making decisions regarding resource allocation and assessing performance. The Company views its operations and manages its business in one operating segment. When evaluating the Company's financial performance, the CODM reviews total expenses and expenses by function. Further, the CODM reviews the segment's assets based on total assets reported on the consolidated balance sheet.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table below is a summary of the segment loss, including significant segment expenses (in thousands):</w:t>
      </w:r>
    </w:p>
    <w:p>
      <w:pPr>
        <w:pStyle w:val="TextBody"/>
        <w:bidi w:val="0"/>
        <w:spacing w:before="120" w:after="283"/>
        <w:jc w:val="left"/>
        <w:rPr/>
      </w:pPr>
      <w:r>
        <w:rPr/>
        <w:t> </w:t>
      </w:r>
    </w:p>
    <w:tbl>
      <w:tblPr>
        <w:tblW w:w="10102" w:type="dxa"/>
        <w:jc w:val="left"/>
        <w:tblInd w:w="0" w:type="dxa"/>
        <w:tblLayout w:type="fixed"/>
        <w:tblCellMar>
          <w:top w:w="28" w:type="dxa"/>
          <w:left w:w="28" w:type="dxa"/>
          <w:bottom w:w="28" w:type="dxa"/>
          <w:right w:w="28" w:type="dxa"/>
        </w:tblCellMar>
      </w:tblPr>
      <w:tblGrid>
        <w:gridCol w:w="7011"/>
        <w:gridCol w:w="146"/>
        <w:gridCol w:w="225"/>
        <w:gridCol w:w="786"/>
        <w:gridCol w:w="177"/>
        <w:gridCol w:w="155"/>
        <w:gridCol w:w="225"/>
        <w:gridCol w:w="786"/>
        <w:gridCol w:w="591"/>
      </w:tblGrid>
      <w:tr>
        <w:trPr/>
        <w:tc>
          <w:tcPr>
            <w:tcW w:w="7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70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development, and laboratory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10,058</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12,092</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Facility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10,479</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11,232</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Support functions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7,268</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8,654</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5,662</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7,022</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Technical operations and manufacturing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3,986</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7,436</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Other</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2,728</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2,237</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 related success payments and contingent consideration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8,433</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1,957</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0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8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48,614</w:t>
            </w:r>
          </w:p>
        </w:tc>
        <w:tc>
          <w:tcPr>
            <w:tcW w:w="177"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8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50,630</w:t>
            </w:r>
          </w:p>
        </w:tc>
        <w:tc>
          <w:tcPr>
            <w:tcW w:w="5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7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(48,614</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(50,630</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951</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992</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(47,210</w:t>
            </w:r>
          </w:p>
        </w:tc>
        <w:tc>
          <w:tcPr>
            <w:tcW w:w="1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(49,389</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2"/>
        </w:rPr>
        <w:t>(1)</w:t>
      </w:r>
      <w:r>
        <w:rPr>
          <w:rFonts w:ascii="Times New Roman" w:hAnsi="Times New Roman"/>
          <w:color w:val="000000"/>
          <w:sz w:val="20"/>
        </w:rPr>
        <w:t xml:space="preserve"> </w:t>
      </w:r>
      <w:r>
        <w:rPr>
          <w:rFonts w:ascii="Times New Roman" w:hAnsi="Times New Roman"/>
          <w:color w:val="000000"/>
          <w:sz w:val="18"/>
        </w:rPr>
        <w:t>Other includes licensing costs, consulting fees, insurance, and business taxes for the three months ended March 31, 2026 and 2025.</w:t>
      </w:r>
    </w:p>
    <w:p>
      <w:pPr>
        <w:pStyle w:val="TextBody"/>
        <w:bidi w:val="0"/>
        <w:jc w:val="left"/>
        <w:rPr/>
      </w:pPr>
      <w:r>
        <w:rPr/>
        <w:t> </w:t>
      </w:r>
    </w:p>
    <w:p>
      <w:pPr>
        <w:pStyle w:val="Heading1"/>
        <w:bidi w:val="0"/>
        <w:spacing w:before="360" w:after="283"/>
        <w:jc w:val="left"/>
        <w:rPr>
          <w:rFonts w:ascii="Times New Roman" w:hAnsi="Times New Roman"/>
          <w:color w:val="000000"/>
          <w:sz w:val="20"/>
        </w:rPr>
      </w:pPr>
      <w:r>
        <w:rPr>
          <w:rFonts w:ascii="Times New Roman" w:hAnsi="Times New Roman"/>
          <w:color w:val="000000"/>
          <w:sz w:val="20"/>
        </w:rPr>
        <w:t xml:space="preserve">4. Acquisitions </w:t>
      </w:r>
    </w:p>
    <w:p>
      <w:pPr>
        <w:pStyle w:val="Heading2"/>
        <w:bidi w:val="0"/>
        <w:spacing w:before="120" w:after="283"/>
        <w:jc w:val="left"/>
        <w:rPr>
          <w:rFonts w:ascii="Times New Roman" w:hAnsi="Times New Roman"/>
          <w:sz w:val="20"/>
        </w:rPr>
      </w:pPr>
      <w:r>
        <w:rPr>
          <w:rFonts w:ascii="Times New Roman" w:hAnsi="Times New Roman"/>
          <w:i/>
          <w:color w:val="000000"/>
          <w:sz w:val="20"/>
        </w:rPr>
        <w:t>Cobalt Biomedicine, Inc.</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February 2019, the Company acquired 100% of the outstanding equity of Cobalt Biomedicine, Inc. (Cobalt), a privately held early-stage biotechnology company developing a platform technology using its fusogen technology to specifically and consistently deliver various biological payloads to cells (the Cobalt acquisition).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part of the Cobalt acquisition, the Company recorded an intangible asset of $59.2 million, which consists of in-process research and development that is classified as indefinite-lived until the successful completion of the associated research and development technology, at which point it becomes a finite-lived asset and will be amortized over its estimated useful life. If the research and development technology is abandoned, an impairment charge will be recorded. The Company is actively developing the fusogen technology and, accordingly, the intangible asset is not complete. Amortization will begin when regulatory approval of a product candidate developed using the fusogen technology is obtained in a major market, typically either the United States or the European Union.</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The Company recognized $140.6 million of goodwill as a result of the Cobalt acquisition, which is primarily attributable to the value the acquisition provides the Company by complementing the Company’s </w:t>
      </w:r>
      <w:r>
        <w:rPr>
          <w:rFonts w:ascii="Times New Roman" w:hAnsi="Times New Roman"/>
          <w:i/>
          <w:color w:val="000000"/>
          <w:sz w:val="20"/>
        </w:rPr>
        <w:t>ex vivo</w:t>
      </w:r>
      <w:r>
        <w:rPr>
          <w:rFonts w:ascii="Times New Roman" w:hAnsi="Times New Roman"/>
          <w:color w:val="000000"/>
          <w:sz w:val="20"/>
        </w:rPr>
        <w:t xml:space="preserve"> cell therapy technology with </w:t>
      </w:r>
      <w:r>
        <w:rPr>
          <w:rFonts w:ascii="Times New Roman" w:hAnsi="Times New Roman"/>
          <w:i/>
          <w:color w:val="000000"/>
          <w:sz w:val="20"/>
        </w:rPr>
        <w:t>in vivo</w:t>
      </w:r>
      <w:r>
        <w:rPr>
          <w:rFonts w:ascii="Times New Roman" w:hAnsi="Times New Roman"/>
          <w:color w:val="000000"/>
          <w:sz w:val="20"/>
        </w:rPr>
        <w:t xml:space="preserve"> fusogen cell engineering technology and furthering the Company’s research in using engineered cells as medicines. The goodwill is not deductible for income tax purposes. There were no impairments of the intangible asset or goodwill since the acquisition.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terms and conditions in the Cobalt acquisition agreement, the Company has an obligation to pay to certain former Cobalt stockholders contingent consideration (Cobalt Contingent Consideration) of up to an aggregate of $500.0 million upon the achievement of certain specified development milestones and a success payment (Cobalt Success Payment) of up to $500.0 million, each of which is payable in cash or stock. The Cobalt Success Payment is payable if, at pre-determined valuation measurement dates, the Company’s market capitalization equals or exceeds $8.1 billion, and the Company is advancing a program based on the fusogen technology in a clinical trial pursuant to an investigational new drug application, or has filed, or received approval for, a biologics license application or new drug application for a product developed using the fusogen technology. The Cobalt Success Payment can be achieved over a maximum of 20 years from the date of the acquisition, but this period could be shorter upon the occurrence of certain events. A valuation measurement date would also be triggered upon a change of control of the Company if at least one of the Company’s programs based on the fusogen technology is an active research program at the time of such change of control. If the Company’s market capitalization is below $8.1 billion as of the date of a change of control, the amount of the potential Cobalt Success Payment will decrease, and the amount of potential Cobalt Contingent Consideration will increase. As of March 31, 2026, a Cobalt Success Payment had not been triggered.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sets forth various thresholds for the Company’s market capitalizations as of the date of a change of control and the resulting potential Cobalt Success Payment and additional potential Cobalt Contingent Consideration:</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356"/>
        <w:gridCol w:w="146"/>
        <w:gridCol w:w="331"/>
        <w:gridCol w:w="665"/>
        <w:gridCol w:w="146"/>
        <w:gridCol w:w="146"/>
        <w:gridCol w:w="406"/>
        <w:gridCol w:w="815"/>
        <w:gridCol w:w="194"/>
      </w:tblGrid>
      <w:tr>
        <w:trPr/>
        <w:tc>
          <w:tcPr>
            <w:tcW w:w="73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7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Sana market capitalization upon a change of control and resulting impact to Cobalt Success Payment and additional potential Cobalt Contingent Consideration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Cobalt Success</w:t>
              <w:br/>
              <w:t>Payment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potential Cobalt</w:t>
              <w:br/>
              <w:t>Contingent</w:t>
              <w:br/>
              <w:t>Consideration</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9"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3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Equal to or exceeds $8.1 billion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Equal to or exceeds $7.4 billion, but less than $8.1 billion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Equal to or exceeds $6.8 billion, but less than $7.4 billion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than $6.8 billion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Cobalt Success Payment and Cobalt Contingent Consideration liabilities are carried at fair value, with changes in fair value recognized in research and development related success payments and contingent consideration. As of March 31, 2026 and December 31, 2025, the estimated fair value of the Cobalt Success Payment liability was $16.0 million and $17.9 million, respectively, and was recorded in long-term liabilities. In connection with the change in the estimated fair value of the Cobalt Success Payment, the Company recognized a gain of $1.8 million and an expense of $0.1 million for the three months ended March 31, 2026 and 2025, respectively.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March 31, 2026, the estimated fair value of the Cobalt Contingent Consideration was $134.5 million, of which $53.6 million was recorded in short-term liabilities and $80.9 million was recorded in long-term liabilities. As of December 31, 2025, the estimated fair value of the Cobalt Contingent Consideration was $123.7 million, of which $40.2 million was recorded in short-term liabilities and $83.5 million was recorded in long-term liabilities. In connection with the change in the estimated fair value of the Cobalt Contingent Consideration, the Company recognized expenses of $10.7 million and $1.9 million for the three months ended March 31, 2026 and 2025, respectively.</w:t>
      </w:r>
    </w:p>
    <w:p>
      <w:pPr>
        <w:pStyle w:val="Heading1"/>
        <w:bidi w:val="0"/>
        <w:spacing w:before="360" w:after="283"/>
        <w:jc w:val="left"/>
        <w:rPr>
          <w:rFonts w:ascii="Times New Roman" w:hAnsi="Times New Roman"/>
          <w:color w:val="000000"/>
          <w:sz w:val="20"/>
        </w:rPr>
      </w:pPr>
      <w:r>
        <w:rPr>
          <w:rFonts w:ascii="Times New Roman" w:hAnsi="Times New Roman"/>
          <w:color w:val="000000"/>
          <w:sz w:val="20"/>
        </w:rPr>
        <w:t xml:space="preserve">5. License and collaboration agreements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Beam Therapeutics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October 2021, the Company entered into an option and license agreement with Beam Therapeutics Inc. (Beam), pursuant to which the Company was granted a non-exclusive license to use Beam’s proprietary CRISPR Cas12b nuclease editing technology to research, develop, and commercialize engineered cell therapy products that (i) are directed to certain antigen targets, with respect to allogeneic T cell products, or (ii) comprise certain human cell types, with respect to stem cell-derived products. The Company made an upfront payment of $50.0 million to Beam, which was recorded in research and development expense for the year ended December 31, 2021. Additionally, under the terms of the agreement, the Company may be obligated to pay, with respect to each licensed product, up to $65.0 million in specified developmental and commercial milestone payments as well as royalties. At the time of the entry into the option and license agreement, a member of the Company’s board of directors was a beneficial owner of greater than 10% of the outstanding shares of Beam. In 2024, this director was also affiliated with a member of the board of directors of Beam.</w:t>
      </w:r>
    </w:p>
    <w:p>
      <w:pPr>
        <w:pStyle w:val="Heading2"/>
        <w:bidi w:val="0"/>
        <w:spacing w:before="360" w:after="283"/>
        <w:jc w:val="left"/>
        <w:rPr>
          <w:rFonts w:ascii="Times New Roman" w:hAnsi="Times New Roman"/>
          <w:sz w:val="20"/>
        </w:rPr>
      </w:pPr>
      <w:r>
        <w:rPr>
          <w:rFonts w:ascii="Times New Roman" w:hAnsi="Times New Roman"/>
          <w:i/>
          <w:color w:val="000000"/>
          <w:sz w:val="20"/>
        </w:rPr>
        <w:t>President and Fellows of Harvard College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March 2019, the Company entered into an exclusive license agreement with the President and Fellows of Harvard College (Harvard) to access certain intellectual property for the development of hypoimmune-modified cells.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Under the terms of the agreement, the Company paid to Harvard aggregate consideration of $12.0 million, comprising $9.0 million in common stock and $3.0 million in cash. Additionally, the Company may be required to pay to Harvard up to an aggregate of $175.0 million in success payments, payable in cash, based on increases in the fair value of the Company’s common stock (Harvard Success Payments). The potential Harvard Success Payments are based on multiples of increased value ranging from 5x to 40x, based on a comparison of the fair market value of the Company’s common stock relative to the original issuance price of $4.00 per share at ongoing pre-determined valuation measurement dates. The Harvard Success Payments can be achieved over a maximum of 12 years from the effective date of the agreement. If a higher success payment tier is first met at the same time a lower tier is first met, both tiers will be owed. Any previous success payments made to Harvard would be credited against the success payment owed as of any valuation measurement date so that Harvard does not receive multiple success payments in connection with the same threshold. As of March 31, 2026, a Harvard Success Payment had not been triggered.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the potential success payments and common stock price required for payment:</w:t>
      </w:r>
    </w:p>
    <w:p>
      <w:pPr>
        <w:pStyle w:val="TextBody"/>
        <w:bidi w:val="0"/>
        <w:jc w:val="left"/>
        <w:rPr/>
      </w:pPr>
      <w:r>
        <w:rPr/>
        <w:t> </w:t>
      </w:r>
    </w:p>
    <w:tbl>
      <w:tblPr>
        <w:tblW w:w="9886" w:type="dxa"/>
        <w:jc w:val="left"/>
        <w:tblInd w:w="0" w:type="dxa"/>
        <w:tblLayout w:type="fixed"/>
        <w:tblCellMar>
          <w:top w:w="28" w:type="dxa"/>
          <w:left w:w="28" w:type="dxa"/>
          <w:bottom w:w="28" w:type="dxa"/>
          <w:right w:w="28" w:type="dxa"/>
        </w:tblCellMar>
      </w:tblPr>
      <w:tblGrid>
        <w:gridCol w:w="4261"/>
        <w:gridCol w:w="146"/>
        <w:gridCol w:w="211"/>
        <w:gridCol w:w="571"/>
        <w:gridCol w:w="146"/>
        <w:gridCol w:w="146"/>
        <w:gridCol w:w="211"/>
        <w:gridCol w:w="571"/>
        <w:gridCol w:w="146"/>
        <w:gridCol w:w="146"/>
        <w:gridCol w:w="211"/>
        <w:gridCol w:w="571"/>
        <w:gridCol w:w="146"/>
        <w:gridCol w:w="146"/>
        <w:gridCol w:w="211"/>
        <w:gridCol w:w="676"/>
        <w:gridCol w:w="146"/>
        <w:gridCol w:w="146"/>
        <w:gridCol w:w="211"/>
        <w:gridCol w:w="676"/>
        <w:gridCol w:w="191"/>
      </w:tblGrid>
      <w:tr>
        <w:trPr/>
        <w:tc>
          <w:tcPr>
            <w:tcW w:w="4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Multiple of Equity Value at Issuance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5x</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10x</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20x</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30x</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40x</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 share common stock price required for payment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Success payment(s) (in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Harvard Success Payment liabilities are carried at fair value, with the initial value and changes in fair value recognized in research and development related success payments and contingent consideration. As of March 31, 2026 and December 31, 2025, the estimated fair value of the Harvard Success Payment liability was $0.9 million and $1.4 million, respectively, and was recorded in long-term liabilities. In connection with the change in the estimated fair value of the Harvard Success Payment liability, the Company recognized a gain of $0.5 million and an immaterial gain for the three months ended March 31, 2026 and 2025, respectively.</w:t>
      </w:r>
    </w:p>
    <w:p>
      <w:pPr>
        <w:pStyle w:val="Heading1"/>
        <w:bidi w:val="0"/>
        <w:spacing w:before="360" w:after="283"/>
        <w:jc w:val="left"/>
        <w:rPr>
          <w:rFonts w:ascii="Times New Roman" w:hAnsi="Times New Roman"/>
          <w:color w:val="000000"/>
          <w:sz w:val="20"/>
        </w:rPr>
      </w:pPr>
      <w:r>
        <w:rPr>
          <w:rFonts w:ascii="Times New Roman" w:hAnsi="Times New Roman"/>
          <w:color w:val="000000"/>
          <w:sz w:val="20"/>
        </w:rPr>
        <w:t xml:space="preserve">6. Restricted cash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maintains standby letters of credit that are collateralized with a bank account at a financial institution in accordance with certain lease agreements. The aggregate amount of such standby letters of credit was $4.2 million as of each of March 31, 2026 and December 31, 2025.</w:t>
      </w:r>
    </w:p>
    <w:p>
      <w:pPr>
        <w:pStyle w:val="Heading1"/>
        <w:bidi w:val="0"/>
        <w:spacing w:before="360" w:after="283"/>
        <w:jc w:val="left"/>
        <w:rPr>
          <w:rFonts w:ascii="Times New Roman" w:hAnsi="Times New Roman"/>
          <w:color w:val="000000"/>
          <w:sz w:val="20"/>
        </w:rPr>
      </w:pPr>
      <w:r>
        <w:rPr>
          <w:rFonts w:ascii="Times New Roman" w:hAnsi="Times New Roman"/>
          <w:color w:val="000000"/>
          <w:sz w:val="20"/>
        </w:rPr>
        <w:t xml:space="preserve">7. Fair value measurements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tables summarize the Company’s financial assets and liabilities measured at fair value on a recurring basis based on the three-tier fair value hierarchy:</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970"/>
        <w:gridCol w:w="346"/>
        <w:gridCol w:w="856"/>
        <w:gridCol w:w="146"/>
        <w:gridCol w:w="246"/>
        <w:gridCol w:w="912"/>
        <w:gridCol w:w="146"/>
        <w:gridCol w:w="146"/>
        <w:gridCol w:w="594"/>
        <w:gridCol w:w="469"/>
        <w:gridCol w:w="146"/>
        <w:gridCol w:w="146"/>
        <w:gridCol w:w="473"/>
        <w:gridCol w:w="610"/>
        <w:gridCol w:w="166"/>
        <w:gridCol w:w="146"/>
        <w:gridCol w:w="211"/>
        <w:gridCol w:w="781"/>
        <w:gridCol w:w="695"/>
      </w:tblGrid>
      <w:tr>
        <w:trPr/>
        <w:tc>
          <w:tcPr>
            <w:tcW w:w="2970"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r>
      <w:tr>
        <w:trPr/>
        <w:tc>
          <w:tcPr>
            <w:tcW w:w="297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9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6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7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Valuation</w:t>
              <w:br/>
              <w:t>Hierarchy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Unrealized</w:t>
              <w:br/>
              <w:t>Holding 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8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Unrealized</w:t>
              <w:br/>
              <w:t>Holding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br/>
              <w:t>Fair Value</w:t>
            </w:r>
          </w:p>
        </w:tc>
        <w:tc>
          <w:tcPr>
            <w:tcW w:w="6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7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92"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Financial assets: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97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equivalents: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297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Money market funds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71,740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71,740</w:t>
            </w:r>
          </w:p>
        </w:tc>
        <w:tc>
          <w:tcPr>
            <w:tcW w:w="69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97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U.S. government and agency securities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8,093</w:t>
            </w:r>
          </w:p>
        </w:tc>
        <w:tc>
          <w:tcPr>
            <w:tcW w:w="69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97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cash equivalents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912"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79,833</w:t>
            </w:r>
          </w:p>
        </w:tc>
        <w:tc>
          <w:tcPr>
            <w:tcW w:w="14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594"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469"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473"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610"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8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79,833</w:t>
            </w:r>
          </w:p>
        </w:tc>
        <w:tc>
          <w:tcPr>
            <w:tcW w:w="695"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ind w:left="0" w:right="0" w:firstLine="200"/>
              <w:jc w:val="left"/>
              <w:rPr/>
            </w:pPr>
            <w:r>
              <w:rPr/>
              <w:t> </w:t>
            </w:r>
          </w:p>
        </w:tc>
      </w:tr>
      <w:tr>
        <w:trPr/>
        <w:tc>
          <w:tcPr>
            <w:tcW w:w="297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Short-term marketable securities: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297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U.S. government and agency securities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15,925</w:t>
            </w:r>
          </w:p>
        </w:tc>
        <w:tc>
          <w:tcPr>
            <w:tcW w:w="69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97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Corporate debt securities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1,411</w:t>
            </w:r>
          </w:p>
        </w:tc>
        <w:tc>
          <w:tcPr>
            <w:tcW w:w="69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97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short-term marketable securities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17,338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17,336</w:t>
            </w:r>
          </w:p>
        </w:tc>
        <w:tc>
          <w:tcPr>
            <w:tcW w:w="69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2970"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Total financial assets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97,171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97,169</w:t>
            </w:r>
          </w:p>
        </w:tc>
        <w:tc>
          <w:tcPr>
            <w:tcW w:w="6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Financial liabilities: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97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Short-term financial liabilities: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297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Contingent consideration</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53,556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53,556</w:t>
            </w:r>
          </w:p>
        </w:tc>
        <w:tc>
          <w:tcPr>
            <w:tcW w:w="69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97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short-term financial liabilities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912"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53,556</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594"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469"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473"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610"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8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53,556</w:t>
            </w:r>
          </w:p>
        </w:tc>
        <w:tc>
          <w:tcPr>
            <w:tcW w:w="695"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ind w:left="0" w:right="0" w:firstLine="200"/>
              <w:jc w:val="left"/>
              <w:rPr/>
            </w:pPr>
            <w:r>
              <w:rPr/>
              <w:t> </w:t>
            </w:r>
          </w:p>
        </w:tc>
      </w:tr>
      <w:tr>
        <w:trPr/>
        <w:tc>
          <w:tcPr>
            <w:tcW w:w="297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Long-term financial liabilities: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9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297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Contingent consideration</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80,907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80,907</w:t>
            </w:r>
          </w:p>
        </w:tc>
        <w:tc>
          <w:tcPr>
            <w:tcW w:w="69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97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Success payment liabilities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16,926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16,926</w:t>
            </w:r>
          </w:p>
        </w:tc>
        <w:tc>
          <w:tcPr>
            <w:tcW w:w="69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97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long-term financial liabilities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97,833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97,833</w:t>
            </w:r>
          </w:p>
        </w:tc>
        <w:tc>
          <w:tcPr>
            <w:tcW w:w="69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2970"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Total financial liabilities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151,389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151,389</w:t>
            </w:r>
          </w:p>
        </w:tc>
        <w:tc>
          <w:tcPr>
            <w:tcW w:w="6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970"/>
        <w:gridCol w:w="346"/>
        <w:gridCol w:w="856"/>
        <w:gridCol w:w="146"/>
        <w:gridCol w:w="246"/>
        <w:gridCol w:w="912"/>
        <w:gridCol w:w="146"/>
        <w:gridCol w:w="146"/>
        <w:gridCol w:w="424"/>
        <w:gridCol w:w="639"/>
        <w:gridCol w:w="146"/>
        <w:gridCol w:w="146"/>
        <w:gridCol w:w="473"/>
        <w:gridCol w:w="610"/>
        <w:gridCol w:w="166"/>
        <w:gridCol w:w="146"/>
        <w:gridCol w:w="211"/>
        <w:gridCol w:w="781"/>
        <w:gridCol w:w="695"/>
      </w:tblGrid>
      <w:tr>
        <w:trPr/>
        <w:tc>
          <w:tcPr>
            <w:tcW w:w="2970"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r>
      <w:tr>
        <w:trPr/>
        <w:tc>
          <w:tcPr>
            <w:tcW w:w="297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9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6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7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Valuation</w:t>
              <w:br/>
              <w:t>Hierarchy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Unrealized</w:t>
              <w:br/>
              <w:t>Holding 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8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Unrealized</w:t>
              <w:br/>
              <w:t>Holding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br/>
              <w:t>Fair Value</w:t>
            </w:r>
          </w:p>
        </w:tc>
        <w:tc>
          <w:tcPr>
            <w:tcW w:w="6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7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92"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Financial assets: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97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equivalents: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297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Money market funds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63,000</w:t>
            </w:r>
          </w:p>
        </w:tc>
        <w:tc>
          <w:tcPr>
            <w:tcW w:w="69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97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U.S. government and agency securities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6,528</w:t>
            </w:r>
          </w:p>
        </w:tc>
        <w:tc>
          <w:tcPr>
            <w:tcW w:w="69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97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cash equivalents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912"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69,528</w:t>
            </w:r>
          </w:p>
        </w:tc>
        <w:tc>
          <w:tcPr>
            <w:tcW w:w="14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424"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639"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473"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610"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8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69,528</w:t>
            </w:r>
          </w:p>
        </w:tc>
        <w:tc>
          <w:tcPr>
            <w:tcW w:w="695"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ind w:left="0" w:right="0" w:firstLine="200"/>
              <w:jc w:val="left"/>
              <w:rPr/>
            </w:pPr>
            <w:r>
              <w:rPr/>
              <w:t> </w:t>
            </w:r>
          </w:p>
        </w:tc>
      </w:tr>
      <w:tr>
        <w:trPr/>
        <w:tc>
          <w:tcPr>
            <w:tcW w:w="297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Short-term marketable securities: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297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U.S. government and agency securities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65,111</w:t>
            </w:r>
          </w:p>
        </w:tc>
        <w:tc>
          <w:tcPr>
            <w:tcW w:w="69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97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Corporate debt securities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1,401</w:t>
            </w:r>
          </w:p>
        </w:tc>
        <w:tc>
          <w:tcPr>
            <w:tcW w:w="69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97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short-term marketable securities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66,484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66,512</w:t>
            </w:r>
          </w:p>
        </w:tc>
        <w:tc>
          <w:tcPr>
            <w:tcW w:w="69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2970"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Total financial assets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136,012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136,040</w:t>
            </w:r>
          </w:p>
        </w:tc>
        <w:tc>
          <w:tcPr>
            <w:tcW w:w="6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Financial liabilities: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97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Short-term financial liabilities: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297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Contingent consideration</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40,200</w:t>
            </w:r>
          </w:p>
        </w:tc>
        <w:tc>
          <w:tcPr>
            <w:tcW w:w="69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97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short-term financial liabilities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912"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40,200</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424"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639"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473"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610"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8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40,200</w:t>
            </w:r>
          </w:p>
        </w:tc>
        <w:tc>
          <w:tcPr>
            <w:tcW w:w="695"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ind w:left="0" w:right="0" w:firstLine="200"/>
              <w:jc w:val="left"/>
              <w:rPr/>
            </w:pPr>
            <w:r>
              <w:rPr/>
              <w:t> </w:t>
            </w:r>
          </w:p>
        </w:tc>
      </w:tr>
      <w:tr>
        <w:trPr/>
        <w:tc>
          <w:tcPr>
            <w:tcW w:w="297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Long-term financial liabilities: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9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297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Contingent consideration</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83,518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83,518</w:t>
            </w:r>
          </w:p>
        </w:tc>
        <w:tc>
          <w:tcPr>
            <w:tcW w:w="69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97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Success payment liabilities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19,238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19,238</w:t>
            </w:r>
          </w:p>
        </w:tc>
        <w:tc>
          <w:tcPr>
            <w:tcW w:w="69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97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long-term financial liabilities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102,756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102,756</w:t>
            </w:r>
          </w:p>
        </w:tc>
        <w:tc>
          <w:tcPr>
            <w:tcW w:w="69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2970"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Total financial liabilities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142,956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142,956</w:t>
            </w:r>
          </w:p>
        </w:tc>
        <w:tc>
          <w:tcPr>
            <w:tcW w:w="6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measures the fair value of money market funds based on quoted prices in active markets for identical assets or liabilities. The Level 2 marketable securities include U.S. government and agency securities and corporate debt securities and are valued based on either recent trades of securities in inactive markets or quoted market prices of similar instruments and other significant inputs derived from or corroborated by observable market data.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were no available-for-sale debt securities in a material loss position as of March 31, 2026 and December 31, 2025. The Company determined that there was no material change in the credit risk of the investments during the three months ended March 31, 2026. As such, an allowance for credit losses has not been recognized. As of March 31, 2026, the Company does not intend to sell such securities, and it is not more-likely-than-not that the Company will be required to sell the securities prior to the recovery of the amortized cost basis.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March 31, 2026, all marketable securities had an effective maturity date of two years or less. Investments in securities with maturities of less than one year, or those for which management intends to use to fund current operations, are included in current assets and classified as available-for-sale. As of March 31, 2026 and December 31, 2025, the balance in accumulated other comprehensive income (loss) included net unrealized gains (losses) related to the Company’s available-for-sale debt securities.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sets forth a summary of the changes in the fair value of the Company’s Level 3 financial liabilities:</w:t>
      </w:r>
    </w:p>
    <w:p>
      <w:pPr>
        <w:pStyle w:val="TextBody"/>
        <w:bidi w:val="0"/>
        <w:jc w:val="left"/>
        <w:rPr/>
      </w:pPr>
      <w:r>
        <w:rPr/>
        <w:t> </w:t>
      </w:r>
    </w:p>
    <w:tbl>
      <w:tblPr>
        <w:tblW w:w="8333" w:type="dxa"/>
        <w:jc w:val="left"/>
        <w:tblInd w:w="0" w:type="dxa"/>
        <w:tblLayout w:type="fixed"/>
        <w:tblCellMar>
          <w:top w:w="28" w:type="dxa"/>
          <w:left w:w="28" w:type="dxa"/>
          <w:bottom w:w="28" w:type="dxa"/>
          <w:right w:w="28" w:type="dxa"/>
        </w:tblCellMar>
      </w:tblPr>
      <w:tblGrid>
        <w:gridCol w:w="3426"/>
        <w:gridCol w:w="146"/>
        <w:gridCol w:w="239"/>
        <w:gridCol w:w="887"/>
        <w:gridCol w:w="146"/>
        <w:gridCol w:w="146"/>
        <w:gridCol w:w="314"/>
        <w:gridCol w:w="1006"/>
        <w:gridCol w:w="166"/>
        <w:gridCol w:w="146"/>
        <w:gridCol w:w="356"/>
        <w:gridCol w:w="964"/>
        <w:gridCol w:w="391"/>
      </w:tblGrid>
      <w:tr>
        <w:trPr/>
        <w:tc>
          <w:tcPr>
            <w:tcW w:w="34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4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Contingent</w:t>
              <w:br/>
              <w:t>Consideration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Cobalt </w:t>
              <w:br/>
              <w:t>Success Payment</w:t>
              <w:br/>
              <w:t>Liability</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Harvard </w:t>
              <w:br/>
              <w:t>Success Payment</w:t>
              <w:br/>
              <w:t>Liability</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70"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26" w:type="dxa"/>
            <w:tcBorders/>
            <w:shd w:fill="CE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December 31, 2025</w:t>
            </w:r>
          </w:p>
        </w:tc>
        <w:tc>
          <w:tcPr>
            <w:tcW w:w="146" w:type="dxa"/>
            <w:tcBorders/>
            <w:shd w:fill="CE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E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7" w:type="dxa"/>
            <w:tcBorders/>
            <w:shd w:fill="CE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123,718</w:t>
            </w:r>
          </w:p>
        </w:tc>
        <w:tc>
          <w:tcPr>
            <w:tcW w:w="146" w:type="dxa"/>
            <w:tcBorders/>
            <w:shd w:fill="CE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E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CE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6" w:type="dxa"/>
            <w:tcBorders/>
            <w:shd w:fill="CE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17,875</w:t>
            </w:r>
          </w:p>
        </w:tc>
        <w:tc>
          <w:tcPr>
            <w:tcW w:w="166" w:type="dxa"/>
            <w:tcBorders/>
            <w:shd w:fill="CE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E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E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4" w:type="dxa"/>
            <w:tcBorders/>
            <w:shd w:fill="CE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1,363</w:t>
            </w:r>
          </w:p>
        </w:tc>
        <w:tc>
          <w:tcPr>
            <w:tcW w:w="391" w:type="dxa"/>
            <w:tcBorders/>
            <w:shd w:fill="CE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Changes in fair value – expense (gain)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10,745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26" w:type="dxa"/>
            <w:tcBorders/>
            <w:shd w:fill="CE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March 31, 2026</w:t>
            </w:r>
          </w:p>
        </w:tc>
        <w:tc>
          <w:tcPr>
            <w:tcW w:w="146" w:type="dxa"/>
            <w:tcBorders/>
            <w:shd w:fill="CE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E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7" w:type="dxa"/>
            <w:tcBorders>
              <w:bottom w:val="double" w:sz="6" w:space="0" w:color="000000"/>
            </w:tcBorders>
            <w:shd w:fill="CE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134,463</w:t>
            </w:r>
          </w:p>
        </w:tc>
        <w:tc>
          <w:tcPr>
            <w:tcW w:w="146" w:type="dxa"/>
            <w:tcBorders>
              <w:bottom w:val="double" w:sz="6" w:space="0" w:color="000000"/>
            </w:tcBorders>
            <w:shd w:fill="CE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EF0FC" w:val="clear"/>
            <w:tcMar>
              <w:top w:w="0" w:type="dxa"/>
              <w:left w:w="0" w:type="dxa"/>
              <w:right w:w="0" w:type="dxa"/>
            </w:tcMar>
            <w:vAlign w:val="center"/>
          </w:tcPr>
          <w:p>
            <w:pPr>
              <w:pStyle w:val="TableContents"/>
              <w:bidi w:val="0"/>
              <w:spacing w:before="0" w:after="283"/>
              <w:jc w:val="left"/>
              <w:rPr/>
            </w:pPr>
            <w:r>
              <w:rPr/>
              <w:t> </w:t>
            </w:r>
          </w:p>
        </w:tc>
        <w:tc>
          <w:tcPr>
            <w:tcW w:w="314" w:type="dxa"/>
            <w:tcBorders>
              <w:bottom w:val="double" w:sz="6" w:space="0" w:color="000000"/>
            </w:tcBorders>
            <w:shd w:fill="CE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6" w:type="dxa"/>
            <w:tcBorders>
              <w:bottom w:val="double" w:sz="6" w:space="0" w:color="000000"/>
            </w:tcBorders>
            <w:shd w:fill="CE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16,052</w:t>
            </w:r>
          </w:p>
        </w:tc>
        <w:tc>
          <w:tcPr>
            <w:tcW w:w="166" w:type="dxa"/>
            <w:tcBorders>
              <w:bottom w:val="double" w:sz="6" w:space="0" w:color="000000"/>
            </w:tcBorders>
            <w:shd w:fill="CE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EF0FC" w:val="clear"/>
            <w:tcMar>
              <w:top w:w="0" w:type="dxa"/>
              <w:left w:w="0" w:type="dxa"/>
              <w:right w:w="0" w:type="dxa"/>
            </w:tcMar>
            <w:vAlign w:val="center"/>
          </w:tcPr>
          <w:p>
            <w:pPr>
              <w:pStyle w:val="TableContents"/>
              <w:bidi w:val="0"/>
              <w:spacing w:before="0" w:after="283"/>
              <w:jc w:val="left"/>
              <w:rPr/>
            </w:pPr>
            <w:r>
              <w:rPr/>
              <w:t> </w:t>
            </w:r>
          </w:p>
        </w:tc>
        <w:tc>
          <w:tcPr>
            <w:tcW w:w="356" w:type="dxa"/>
            <w:tcBorders>
              <w:bottom w:val="double" w:sz="6" w:space="0" w:color="000000"/>
            </w:tcBorders>
            <w:shd w:fill="CE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4" w:type="dxa"/>
            <w:tcBorders>
              <w:bottom w:val="double" w:sz="6" w:space="0" w:color="000000"/>
            </w:tcBorders>
            <w:shd w:fill="CE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874</w:t>
            </w:r>
          </w:p>
        </w:tc>
        <w:tc>
          <w:tcPr>
            <w:tcW w:w="391" w:type="dxa"/>
            <w:tcBorders>
              <w:bottom w:val="double" w:sz="6" w:space="0" w:color="000000"/>
            </w:tcBorders>
            <w:shd w:fill="CE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Contingent consideration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utilizes significant estimates and assumptions it believes would be made by a market participant in determining the estimated fair value of the Cobalt Contingent Consideration at each balance sheet date. The fair value of the Cobalt Contingent Consideration was determined by calculating the probability-weighted estimated value of the pre-specified development milestone payments, which are payable in cash or stock, based on the assessment of the likelihood and estimated timing that the milestones would be achieved and the applicable discount rates. The discount rate captures the credit risk associated with the payment of the contingent consideration when earned and due. The Company assesses these estimates on an ongoing basis as additional data impacting the assumptions are obtained.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fair value of the Cobalt Contingent Consideration was calculated using the following unobservable inputs:</w:t>
      </w:r>
    </w:p>
    <w:p>
      <w:pPr>
        <w:pStyle w:val="TextBody"/>
        <w:bidi w:val="0"/>
        <w:jc w:val="left"/>
        <w:rPr/>
      </w:pPr>
      <w:r>
        <w:rPr/>
        <w:t> </w:t>
      </w:r>
    </w:p>
    <w:tbl>
      <w:tblPr>
        <w:tblW w:w="9394" w:type="dxa"/>
        <w:jc w:val="left"/>
        <w:tblInd w:w="0" w:type="dxa"/>
        <w:tblLayout w:type="fixed"/>
        <w:tblCellMar>
          <w:top w:w="28" w:type="dxa"/>
          <w:left w:w="28" w:type="dxa"/>
          <w:bottom w:w="28" w:type="dxa"/>
          <w:right w:w="28" w:type="dxa"/>
        </w:tblCellMar>
      </w:tblPr>
      <w:tblGrid>
        <w:gridCol w:w="3166"/>
        <w:gridCol w:w="146"/>
        <w:gridCol w:w="1306"/>
        <w:gridCol w:w="146"/>
        <w:gridCol w:w="1471"/>
        <w:gridCol w:w="146"/>
        <w:gridCol w:w="1351"/>
        <w:gridCol w:w="146"/>
        <w:gridCol w:w="1516"/>
      </w:tblGrid>
      <w:tr>
        <w:trPr/>
        <w:tc>
          <w:tcPr>
            <w:tcW w:w="3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1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r>
      <w:tr>
        <w:trPr/>
        <w:tc>
          <w:tcPr>
            <w:tcW w:w="3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Unobservable Input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Weighted-Average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Weighted-Average</w:t>
            </w:r>
          </w:p>
        </w:tc>
      </w:tr>
      <w:tr>
        <w:trPr/>
        <w:tc>
          <w:tcPr>
            <w:tcW w:w="3166" w:type="dxa"/>
            <w:tcBorders/>
            <w:shd w:fill="CE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Discount rates</w:t>
            </w:r>
          </w:p>
        </w:tc>
        <w:tc>
          <w:tcPr>
            <w:tcW w:w="146" w:type="dxa"/>
            <w:tcBorders/>
            <w:shd w:fill="CEF0FC" w:val="clear"/>
            <w:tcMar>
              <w:top w:w="0" w:type="dxa"/>
              <w:left w:w="0" w:type="dxa"/>
              <w:bottom w:w="0" w:type="dxa"/>
              <w:right w:w="0" w:type="dxa"/>
            </w:tcMar>
            <w:vAlign w:val="center"/>
          </w:tcPr>
          <w:p>
            <w:pPr>
              <w:pStyle w:val="TableContents"/>
              <w:bidi w:val="0"/>
              <w:spacing w:before="0" w:after="283"/>
              <w:jc w:val="right"/>
              <w:rPr/>
            </w:pPr>
            <w:r>
              <w:rPr/>
              <w:t> </w:t>
            </w:r>
          </w:p>
        </w:tc>
        <w:tc>
          <w:tcPr>
            <w:tcW w:w="1306" w:type="dxa"/>
            <w:tcBorders/>
            <w:shd w:fill="CE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13.6% - 14.0%</w:t>
            </w:r>
          </w:p>
        </w:tc>
        <w:tc>
          <w:tcPr>
            <w:tcW w:w="146" w:type="dxa"/>
            <w:tcBorders/>
            <w:shd w:fill="CEF0FC"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shd w:fill="CE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13.8%</w:t>
            </w:r>
          </w:p>
        </w:tc>
        <w:tc>
          <w:tcPr>
            <w:tcW w:w="146" w:type="dxa"/>
            <w:tcBorders/>
            <w:shd w:fill="CEF0FC" w:val="clear"/>
            <w:tcMar>
              <w:top w:w="0" w:type="dxa"/>
              <w:left w:w="0" w:type="dxa"/>
              <w:bottom w:w="0" w:type="dxa"/>
              <w:right w:w="0" w:type="dxa"/>
            </w:tcMar>
            <w:vAlign w:val="center"/>
          </w:tcPr>
          <w:p>
            <w:pPr>
              <w:pStyle w:val="TableContents"/>
              <w:bidi w:val="0"/>
              <w:spacing w:before="0" w:after="283"/>
              <w:jc w:val="right"/>
              <w:rPr/>
            </w:pPr>
            <w:r>
              <w:rPr/>
              <w:t> </w:t>
            </w:r>
          </w:p>
        </w:tc>
        <w:tc>
          <w:tcPr>
            <w:tcW w:w="1351" w:type="dxa"/>
            <w:tcBorders/>
            <w:shd w:fill="CE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10.6% – 12.1%</w:t>
            </w:r>
          </w:p>
        </w:tc>
        <w:tc>
          <w:tcPr>
            <w:tcW w:w="146" w:type="dxa"/>
            <w:tcBorders/>
            <w:shd w:fill="CEF0FC"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shd w:fill="CE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11.6%</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Probability of milestone achievement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 - 80.0%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 – 60.0%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27.4%</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weighted-average unobservable inputs were calculated based on the relative value of the pre-specified development milestones. The estimated fair value of the Cobalt Contingent Consideration may change significantly as development progresses and additional data are obtained, impacting the assumptions regarding probabilities of successful achievement of the milestones used to estimate the fair value of the liability and the timing in which they are expected to be achieved. In evaluating the fair value assumptions, judgment is required to interpret the market data used to develop the estimates. The estimates of fair value may not be indicative of the amounts that could be realized in a current market exchange. Accordingly, the use of different market assumptions, inputs, and/or different valuation techniques could result in materially different fair value estimates. </w:t>
      </w:r>
    </w:p>
    <w:p>
      <w:pPr>
        <w:pStyle w:val="Heading2"/>
        <w:bidi w:val="0"/>
        <w:spacing w:before="360" w:after="283"/>
        <w:jc w:val="left"/>
        <w:rPr>
          <w:rFonts w:ascii="Times New Roman" w:hAnsi="Times New Roman"/>
          <w:sz w:val="20"/>
        </w:rPr>
      </w:pPr>
      <w:r>
        <w:rPr>
          <w:rFonts w:ascii="Times New Roman" w:hAnsi="Times New Roman"/>
          <w:i/>
          <w:color w:val="000000"/>
          <w:sz w:val="20"/>
        </w:rPr>
        <w:t>Success payments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utilizes significant estimates and assumptions in determining the estimated fair value of the success payment liabilities and the associated expense or gain at each balance sheet date. The estimated fair value of the Cobalt Success Payment and Harvard Success Payment liabilities was determined using a Monte Carlo simulation methodology, which models the estimated fair value of the liability based on several key assumptions, including the expected volatility, remaining term, risk-free interest rate, estimated number and timing of valuation measurement dates on the basis of which payment may be triggered, and, for the Cobalt Success Payment, the Company’s market capitalization, and, for the Harvard Success Payments, the per share fair value of the Company’s common stock. The potential Cobalt Success Payment is payable in cash or stock, and the potential Harvard Success Payments are payable in cash.</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fair values of the Cobalt Success Payments and Harvard Success Payments were calculated using the following unobservable inputs:</w:t>
      </w:r>
    </w:p>
    <w:p>
      <w:pPr>
        <w:pStyle w:val="TextBody"/>
        <w:bidi w:val="0"/>
        <w:jc w:val="left"/>
        <w:rPr/>
      </w:pPr>
      <w:r>
        <w:rPr/>
        <w:t> </w:t>
      </w:r>
    </w:p>
    <w:tbl>
      <w:tblPr>
        <w:tblW w:w="6019" w:type="dxa"/>
        <w:jc w:val="left"/>
        <w:tblInd w:w="0" w:type="dxa"/>
        <w:tblLayout w:type="fixed"/>
        <w:tblCellMar>
          <w:top w:w="28" w:type="dxa"/>
          <w:left w:w="28" w:type="dxa"/>
          <w:bottom w:w="28" w:type="dxa"/>
          <w:right w:w="28" w:type="dxa"/>
        </w:tblCellMar>
      </w:tblPr>
      <w:tblGrid>
        <w:gridCol w:w="2626"/>
        <w:gridCol w:w="146"/>
        <w:gridCol w:w="631"/>
        <w:gridCol w:w="146"/>
        <w:gridCol w:w="751"/>
        <w:gridCol w:w="146"/>
        <w:gridCol w:w="631"/>
        <w:gridCol w:w="146"/>
        <w:gridCol w:w="796"/>
      </w:tblGrid>
      <w:tr>
        <w:trPr/>
        <w:tc>
          <w:tcPr>
            <w:tcW w:w="26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r>
      <w:tr>
        <w:trPr/>
        <w:tc>
          <w:tcPr>
            <w:tcW w:w="26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Unobservable Input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Cobalt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Harvard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Cobalt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Harvard</w:t>
            </w:r>
          </w:p>
        </w:tc>
      </w:tr>
      <w:tr>
        <w:trPr/>
        <w:tc>
          <w:tcPr>
            <w:tcW w:w="26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stock price volatility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77.5%</w:t>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5.2</w:t>
            </w:r>
          </w:p>
        </w:tc>
      </w:tr>
    </w:tbl>
    <w:p>
      <w:pPr>
        <w:pStyle w:val="TextBody"/>
        <w:bidi w:val="0"/>
        <w:jc w:val="left"/>
        <w:rPr/>
      </w:pPr>
      <w:r>
        <w:rPr/>
        <w:t> </w:t>
      </w:r>
    </w:p>
    <w:p>
      <w:pPr>
        <w:pStyle w:val="Heading1"/>
        <w:bidi w:val="0"/>
        <w:spacing w:before="160" w:after="283"/>
        <w:jc w:val="left"/>
        <w:rPr>
          <w:rFonts w:ascii="Times New Roman" w:hAnsi="Times New Roman"/>
          <w:color w:val="000000"/>
          <w:sz w:val="20"/>
        </w:rPr>
      </w:pPr>
      <w:r>
        <w:rPr>
          <w:rFonts w:ascii="Times New Roman" w:hAnsi="Times New Roman"/>
          <w:color w:val="000000"/>
          <w:sz w:val="20"/>
        </w:rPr>
        <w:t xml:space="preserve">8. Property and equipment, net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Property and equipment, net consists of the following:</w:t>
      </w:r>
    </w:p>
    <w:p>
      <w:pPr>
        <w:pStyle w:val="TextBody"/>
        <w:bidi w:val="0"/>
        <w:jc w:val="left"/>
        <w:rPr/>
      </w:pPr>
      <w:r>
        <w:rPr/>
        <w:t> </w:t>
      </w:r>
    </w:p>
    <w:tbl>
      <w:tblPr>
        <w:tblW w:w="6895" w:type="dxa"/>
        <w:jc w:val="left"/>
        <w:tblInd w:w="0" w:type="dxa"/>
        <w:tblLayout w:type="fixed"/>
        <w:tblCellMar>
          <w:top w:w="28" w:type="dxa"/>
          <w:left w:w="28" w:type="dxa"/>
          <w:bottom w:w="28" w:type="dxa"/>
          <w:right w:w="28" w:type="dxa"/>
        </w:tblCellMar>
      </w:tblPr>
      <w:tblGrid>
        <w:gridCol w:w="3466"/>
        <w:gridCol w:w="146"/>
        <w:gridCol w:w="280"/>
        <w:gridCol w:w="980"/>
        <w:gridCol w:w="166"/>
        <w:gridCol w:w="146"/>
        <w:gridCol w:w="334"/>
        <w:gridCol w:w="1166"/>
        <w:gridCol w:w="211"/>
      </w:tblGrid>
      <w:tr>
        <w:trPr/>
        <w:tc>
          <w:tcPr>
            <w:tcW w:w="3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7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Laboratory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38,462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39,061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 equipment, software, and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property and equipment, at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82,819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81,661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(57,146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(54,755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25,673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26,906</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Depreciation expense was $2.4 million and $3.6 million for the three months ended March 31, 2026 and 2025, respectively.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spacing w:before="360" w:after="283"/>
        <w:jc w:val="left"/>
        <w:rPr>
          <w:rFonts w:ascii="Times New Roman" w:hAnsi="Times New Roman"/>
          <w:color w:val="000000"/>
          <w:sz w:val="20"/>
        </w:rPr>
      </w:pPr>
      <w:r>
        <w:rPr>
          <w:rFonts w:ascii="Times New Roman" w:hAnsi="Times New Roman"/>
          <w:color w:val="000000"/>
          <w:sz w:val="20"/>
        </w:rPr>
        <w:t xml:space="preserve">9. Accrued liabilities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Accrued compensation and accrued expenses and other current liabilities consist of the following:</w:t>
      </w:r>
    </w:p>
    <w:p>
      <w:pPr>
        <w:pStyle w:val="TextBody"/>
        <w:bidi w:val="0"/>
        <w:jc w:val="left"/>
        <w:rPr/>
      </w:pPr>
      <w:r>
        <w:rPr/>
        <w:t> </w:t>
      </w:r>
    </w:p>
    <w:tbl>
      <w:tblPr>
        <w:tblW w:w="8050" w:type="dxa"/>
        <w:jc w:val="left"/>
        <w:tblInd w:w="0" w:type="dxa"/>
        <w:tblLayout w:type="fixed"/>
        <w:tblCellMar>
          <w:top w:w="28" w:type="dxa"/>
          <w:left w:w="28" w:type="dxa"/>
          <w:bottom w:w="28" w:type="dxa"/>
          <w:right w:w="28" w:type="dxa"/>
        </w:tblCellMar>
      </w:tblPr>
      <w:tblGrid>
        <w:gridCol w:w="4461"/>
        <w:gridCol w:w="146"/>
        <w:gridCol w:w="340"/>
        <w:gridCol w:w="920"/>
        <w:gridCol w:w="146"/>
        <w:gridCol w:w="146"/>
        <w:gridCol w:w="357"/>
        <w:gridCol w:w="1143"/>
        <w:gridCol w:w="391"/>
      </w:tblGrid>
      <w:tr>
        <w:trPr/>
        <w:tc>
          <w:tcPr>
            <w:tcW w:w="44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4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5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4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bonuses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8,834</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paid time off</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payroll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accrued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4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accrued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7,584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13,240</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4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research and development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professional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accrued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4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accrued expenses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8,124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8,679</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eading1"/>
        <w:bidi w:val="0"/>
        <w:spacing w:before="160" w:after="283"/>
        <w:jc w:val="left"/>
        <w:rPr>
          <w:rFonts w:ascii="Times New Roman" w:hAnsi="Times New Roman"/>
          <w:color w:val="000000"/>
          <w:sz w:val="20"/>
        </w:rPr>
      </w:pPr>
      <w:r>
        <w:rPr>
          <w:rFonts w:ascii="Times New Roman" w:hAnsi="Times New Roman"/>
          <w:color w:val="000000"/>
          <w:sz w:val="20"/>
        </w:rPr>
        <w:t xml:space="preserve">10. Commitments and contingencies </w:t>
      </w:r>
    </w:p>
    <w:p>
      <w:pPr>
        <w:pStyle w:val="Heading2"/>
        <w:bidi w:val="0"/>
        <w:spacing w:before="120" w:after="283"/>
        <w:jc w:val="left"/>
        <w:rPr>
          <w:rFonts w:ascii="Times New Roman" w:hAnsi="Times New Roman"/>
          <w:sz w:val="20"/>
        </w:rPr>
      </w:pPr>
      <w:r>
        <w:rPr>
          <w:rFonts w:ascii="Times New Roman" w:hAnsi="Times New Roman"/>
          <w:i/>
          <w:color w:val="000000"/>
          <w:sz w:val="20"/>
        </w:rPr>
        <w:t>Lease commitments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lease portfolio primarily comprises operating leases for office, laboratory, and manufacturing space. These leases contain various rent abatement periods, after which they require monthly lease payments that may be subject to annual increases throughout the lease term. Certain leases include options to extend the term. The renewal option is considered in the remaining lease term for the lease only when the Company is reasonably certain it will renew the lease. Certain leases provide the Company with the right to make tenant improvements, including the addition of laboratory space or build-out of manufacturing capabilities, and include a lease incentive allowance.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June 2022, the Company entered into a lease agreement for 79,565 square feet of office, laboratory, and manufacturing space located in Bothell, Washington. The initial term of the lease expires in February 2039, with the option to extend the lease for up to three additional five-year terms. The lease agreement also provides for up to $19.9 million for reimbursement of tenant improvements, as well as an additional $8.0 million loan for tenant improvements, available at the Company’s election (the Tenant Improvement Loan). The Company elected to receive the Tenant Improvement Loan in the second quarter of 2024 and is obligated to repay to the landlord monthly over the initial term of the lease with interest at a rate of 6.5% per year. As of March 31, 2026, $0.4 million was included in accrued expenses and other current liabilities and $6.9 million was included in other non-current liabilities. The Company is obligated to pay base rent of approximately $68.8 million over the initial term of the lease. In accordance with the lease agreement, the Company has obtained a letter of credit in the amount of $1.6 million.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contains additional information related to the Company’s operating leases: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794"/>
        <w:gridCol w:w="146"/>
        <w:gridCol w:w="2372"/>
        <w:gridCol w:w="146"/>
        <w:gridCol w:w="1027"/>
        <w:gridCol w:w="146"/>
        <w:gridCol w:w="2252"/>
        <w:gridCol w:w="146"/>
        <w:gridCol w:w="2176"/>
      </w:tblGrid>
      <w:tr>
        <w:trPr/>
        <w:tc>
          <w:tcPr>
            <w:tcW w:w="17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6" w:type="dxa"/>
            <w:tcBorders/>
            <w:vAlign w:val="center"/>
          </w:tcPr>
          <w:p>
            <w:pPr>
              <w:pStyle w:val="TableContents"/>
              <w:bidi w:val="0"/>
              <w:spacing w:before="0" w:after="283"/>
              <w:jc w:val="left"/>
              <w:rPr>
                <w:sz w:val="4"/>
                <w:szCs w:val="4"/>
              </w:rPr>
            </w:pPr>
            <w:r>
              <w:rPr>
                <w:sz w:val="4"/>
                <w:szCs w:val="4"/>
              </w:rPr>
            </w:r>
          </w:p>
        </w:tc>
      </w:tr>
      <w:tr>
        <w:trPr/>
        <w:tc>
          <w:tcPr>
            <w:tcW w:w="17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Location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Use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 xml:space="preserve">Approximate </w:t>
              <w:br/>
              <w:t>Square Footage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Commencement Dates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Expiration Dates</w:t>
            </w:r>
          </w:p>
        </w:tc>
      </w:tr>
      <w:tr>
        <w:trPr/>
        <w:tc>
          <w:tcPr>
            <w:tcW w:w="1794" w:type="dxa"/>
            <w:tcBorders/>
            <w:shd w:fill="CE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Seattle, WA</w:t>
            </w:r>
          </w:p>
        </w:tc>
        <w:tc>
          <w:tcPr>
            <w:tcW w:w="146" w:type="dxa"/>
            <w:tcBorders/>
            <w:shd w:fill="CEF0FC" w:val="clear"/>
            <w:tcMar>
              <w:top w:w="0" w:type="dxa"/>
              <w:left w:w="0" w:type="dxa"/>
              <w:bottom w:w="0" w:type="dxa"/>
              <w:right w:w="0" w:type="dxa"/>
            </w:tcMar>
            <w:vAlign w:val="center"/>
          </w:tcPr>
          <w:p>
            <w:pPr>
              <w:pStyle w:val="TableContents"/>
              <w:bidi w:val="0"/>
              <w:spacing w:before="0" w:after="283"/>
              <w:jc w:val="center"/>
              <w:rPr/>
            </w:pPr>
            <w:r>
              <w:rPr/>
              <w:t> </w:t>
            </w:r>
          </w:p>
        </w:tc>
        <w:tc>
          <w:tcPr>
            <w:tcW w:w="2372" w:type="dxa"/>
            <w:tcBorders/>
            <w:shd w:fill="CE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Office/Laboratory</w:t>
            </w:r>
          </w:p>
        </w:tc>
        <w:tc>
          <w:tcPr>
            <w:tcW w:w="146" w:type="dxa"/>
            <w:tcBorders/>
            <w:shd w:fill="CEF0FC"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tcBorders/>
            <w:shd w:fill="CE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48,000</w:t>
            </w:r>
          </w:p>
        </w:tc>
        <w:tc>
          <w:tcPr>
            <w:tcW w:w="146" w:type="dxa"/>
            <w:tcBorders/>
            <w:shd w:fill="CEF0FC" w:val="clear"/>
            <w:tcMar>
              <w:top w:w="0" w:type="dxa"/>
              <w:left w:w="0" w:type="dxa"/>
              <w:bottom w:w="0" w:type="dxa"/>
              <w:right w:w="0" w:type="dxa"/>
            </w:tcMar>
            <w:vAlign w:val="center"/>
          </w:tcPr>
          <w:p>
            <w:pPr>
              <w:pStyle w:val="TableContents"/>
              <w:bidi w:val="0"/>
              <w:spacing w:before="0" w:after="283"/>
              <w:jc w:val="center"/>
              <w:rPr/>
            </w:pPr>
            <w:r>
              <w:rPr/>
              <w:t> </w:t>
            </w:r>
          </w:p>
        </w:tc>
        <w:tc>
          <w:tcPr>
            <w:tcW w:w="2252" w:type="dxa"/>
            <w:tcBorders/>
            <w:shd w:fill="CEF0FC"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6"/>
              </w:rPr>
              <w:t>March 2019</w:t>
            </w:r>
            <w:r>
              <w:rPr>
                <w:rFonts w:ascii="Times New Roman" w:hAnsi="Times New Roman"/>
                <w:color w:val="000000"/>
                <w:sz w:val="20"/>
              </w:rPr>
              <w:t> </w:t>
            </w:r>
            <w:r>
              <w:rPr>
                <w:rFonts w:ascii="Times New Roman" w:hAnsi="Times New Roman"/>
                <w:color w:val="000000"/>
                <w:sz w:val="16"/>
              </w:rPr>
              <w:t>to September 2020</w:t>
            </w:r>
          </w:p>
        </w:tc>
        <w:tc>
          <w:tcPr>
            <w:tcW w:w="146" w:type="dxa"/>
            <w:tcBorders/>
            <w:shd w:fill="CEF0FC" w:val="clear"/>
            <w:tcMar>
              <w:top w:w="0" w:type="dxa"/>
              <w:left w:w="0" w:type="dxa"/>
              <w:bottom w:w="0" w:type="dxa"/>
              <w:right w:w="0" w:type="dxa"/>
            </w:tcMar>
            <w:vAlign w:val="center"/>
          </w:tcPr>
          <w:p>
            <w:pPr>
              <w:pStyle w:val="TableContents"/>
              <w:bidi w:val="0"/>
              <w:spacing w:before="0" w:after="283"/>
              <w:jc w:val="center"/>
              <w:rPr/>
            </w:pPr>
            <w:r>
              <w:rPr/>
              <w:t> </w:t>
            </w:r>
          </w:p>
        </w:tc>
        <w:tc>
          <w:tcPr>
            <w:tcW w:w="2176" w:type="dxa"/>
            <w:tcBorders/>
            <w:shd w:fill="CEF0FC"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6"/>
              </w:rPr>
              <w:t>December 2026</w:t>
            </w:r>
            <w:r>
              <w:rPr>
                <w:rFonts w:ascii="Times New Roman" w:hAnsi="Times New Roman"/>
                <w:color w:val="000000"/>
                <w:sz w:val="20"/>
              </w:rPr>
              <w:t> </w:t>
            </w:r>
            <w:r>
              <w:rPr>
                <w:rFonts w:ascii="Times New Roman" w:hAnsi="Times New Roman"/>
                <w:color w:val="000000"/>
                <w:sz w:val="16"/>
              </w:rPr>
              <w:t>to April 2028</w:t>
            </w:r>
          </w:p>
        </w:tc>
      </w:tr>
      <w:tr>
        <w:trPr/>
        <w:tc>
          <w:tcPr>
            <w:tcW w:w="179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Cambridge, MA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7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Office/Laboratory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56,000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5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6"/>
              </w:rPr>
              <w:t>March 2019</w:t>
            </w:r>
            <w:r>
              <w:rPr>
                <w:rFonts w:ascii="Times New Roman" w:hAnsi="Times New Roman"/>
                <w:color w:val="000000"/>
                <w:sz w:val="20"/>
              </w:rPr>
              <w:t> </w:t>
            </w:r>
            <w:r>
              <w:rPr>
                <w:rFonts w:ascii="Times New Roman" w:hAnsi="Times New Roman"/>
                <w:color w:val="000000"/>
                <w:sz w:val="16"/>
              </w:rPr>
              <w:t>to January 2020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June 2027 to February 2028</w:t>
            </w:r>
          </w:p>
        </w:tc>
      </w:tr>
      <w:tr>
        <w:trPr/>
        <w:tc>
          <w:tcPr>
            <w:tcW w:w="1794" w:type="dxa"/>
            <w:tcBorders/>
            <w:shd w:fill="CE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South San Francisco, CA</w:t>
            </w:r>
          </w:p>
        </w:tc>
        <w:tc>
          <w:tcPr>
            <w:tcW w:w="146" w:type="dxa"/>
            <w:tcBorders/>
            <w:shd w:fill="CEF0FC" w:val="clear"/>
            <w:tcMar>
              <w:top w:w="0" w:type="dxa"/>
              <w:left w:w="0" w:type="dxa"/>
              <w:bottom w:w="0" w:type="dxa"/>
              <w:right w:w="0" w:type="dxa"/>
            </w:tcMar>
            <w:vAlign w:val="center"/>
          </w:tcPr>
          <w:p>
            <w:pPr>
              <w:pStyle w:val="TableContents"/>
              <w:bidi w:val="0"/>
              <w:spacing w:before="0" w:after="283"/>
              <w:jc w:val="center"/>
              <w:rPr/>
            </w:pPr>
            <w:r>
              <w:rPr/>
              <w:t> </w:t>
            </w:r>
          </w:p>
        </w:tc>
        <w:tc>
          <w:tcPr>
            <w:tcW w:w="2372" w:type="dxa"/>
            <w:tcBorders/>
            <w:shd w:fill="CE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Office/Laboratory</w:t>
            </w:r>
          </w:p>
        </w:tc>
        <w:tc>
          <w:tcPr>
            <w:tcW w:w="146" w:type="dxa"/>
            <w:tcBorders/>
            <w:shd w:fill="CEF0FC"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tcBorders/>
            <w:shd w:fill="CE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99,000</w:t>
            </w:r>
          </w:p>
        </w:tc>
        <w:tc>
          <w:tcPr>
            <w:tcW w:w="146" w:type="dxa"/>
            <w:tcBorders/>
            <w:shd w:fill="CEF0FC" w:val="clear"/>
            <w:tcMar>
              <w:top w:w="0" w:type="dxa"/>
              <w:left w:w="0" w:type="dxa"/>
              <w:bottom w:w="0" w:type="dxa"/>
              <w:right w:w="0" w:type="dxa"/>
            </w:tcMar>
            <w:vAlign w:val="center"/>
          </w:tcPr>
          <w:p>
            <w:pPr>
              <w:pStyle w:val="TableContents"/>
              <w:bidi w:val="0"/>
              <w:spacing w:before="0" w:after="283"/>
              <w:jc w:val="center"/>
              <w:rPr/>
            </w:pPr>
            <w:r>
              <w:rPr/>
              <w:t> </w:t>
            </w:r>
          </w:p>
        </w:tc>
        <w:tc>
          <w:tcPr>
            <w:tcW w:w="2252" w:type="dxa"/>
            <w:tcBorders/>
            <w:shd w:fill="CEF0FC"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6"/>
              </w:rPr>
              <w:t>December 2019</w:t>
            </w:r>
            <w:r>
              <w:rPr>
                <w:rFonts w:ascii="Times New Roman" w:hAnsi="Times New Roman"/>
                <w:color w:val="000000"/>
                <w:sz w:val="20"/>
              </w:rPr>
              <w:t> </w:t>
            </w:r>
            <w:r>
              <w:rPr>
                <w:rFonts w:ascii="Times New Roman" w:hAnsi="Times New Roman"/>
                <w:color w:val="000000"/>
                <w:sz w:val="16"/>
              </w:rPr>
              <w:t>to April 2022</w:t>
            </w:r>
          </w:p>
        </w:tc>
        <w:tc>
          <w:tcPr>
            <w:tcW w:w="146" w:type="dxa"/>
            <w:tcBorders/>
            <w:shd w:fill="CEF0FC" w:val="clear"/>
            <w:tcMar>
              <w:top w:w="0" w:type="dxa"/>
              <w:left w:w="0" w:type="dxa"/>
              <w:bottom w:w="0" w:type="dxa"/>
              <w:right w:w="0" w:type="dxa"/>
            </w:tcMar>
            <w:vAlign w:val="center"/>
          </w:tcPr>
          <w:p>
            <w:pPr>
              <w:pStyle w:val="TableContents"/>
              <w:bidi w:val="0"/>
              <w:spacing w:before="0" w:after="283"/>
              <w:jc w:val="center"/>
              <w:rPr/>
            </w:pPr>
            <w:r>
              <w:rPr/>
              <w:t> </w:t>
            </w:r>
          </w:p>
        </w:tc>
        <w:tc>
          <w:tcPr>
            <w:tcW w:w="2176" w:type="dxa"/>
            <w:tcBorders/>
            <w:shd w:fill="CE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April 2030</w:t>
            </w:r>
          </w:p>
        </w:tc>
      </w:tr>
      <w:tr>
        <w:trPr/>
        <w:tc>
          <w:tcPr>
            <w:tcW w:w="179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Rochester, NY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7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Office/Laboratory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5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January 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January 2027</w:t>
            </w:r>
          </w:p>
        </w:tc>
      </w:tr>
      <w:tr>
        <w:trPr/>
        <w:tc>
          <w:tcPr>
            <w:tcW w:w="1794" w:type="dxa"/>
            <w:tcBorders/>
            <w:shd w:fill="CE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Bothell, WA</w:t>
            </w:r>
          </w:p>
        </w:tc>
        <w:tc>
          <w:tcPr>
            <w:tcW w:w="146" w:type="dxa"/>
            <w:tcBorders/>
            <w:shd w:fill="CEF0FC" w:val="clear"/>
            <w:tcMar>
              <w:top w:w="0" w:type="dxa"/>
              <w:left w:w="0" w:type="dxa"/>
              <w:bottom w:w="0" w:type="dxa"/>
              <w:right w:w="0" w:type="dxa"/>
            </w:tcMar>
            <w:vAlign w:val="center"/>
          </w:tcPr>
          <w:p>
            <w:pPr>
              <w:pStyle w:val="TableContents"/>
              <w:bidi w:val="0"/>
              <w:spacing w:before="0" w:after="283"/>
              <w:jc w:val="center"/>
              <w:rPr/>
            </w:pPr>
            <w:r>
              <w:rPr/>
              <w:t> </w:t>
            </w:r>
          </w:p>
        </w:tc>
        <w:tc>
          <w:tcPr>
            <w:tcW w:w="2372" w:type="dxa"/>
            <w:tcBorders/>
            <w:shd w:fill="CE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Office/Laboratory/Manufacturing</w:t>
            </w:r>
          </w:p>
        </w:tc>
        <w:tc>
          <w:tcPr>
            <w:tcW w:w="146" w:type="dxa"/>
            <w:tcBorders/>
            <w:shd w:fill="CEF0FC"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tcBorders/>
            <w:shd w:fill="CE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80,000</w:t>
            </w:r>
          </w:p>
        </w:tc>
        <w:tc>
          <w:tcPr>
            <w:tcW w:w="146" w:type="dxa"/>
            <w:tcBorders/>
            <w:shd w:fill="CEF0FC" w:val="clear"/>
            <w:tcMar>
              <w:top w:w="0" w:type="dxa"/>
              <w:left w:w="0" w:type="dxa"/>
              <w:bottom w:w="0" w:type="dxa"/>
              <w:right w:w="0" w:type="dxa"/>
            </w:tcMar>
            <w:vAlign w:val="center"/>
          </w:tcPr>
          <w:p>
            <w:pPr>
              <w:pStyle w:val="TableContents"/>
              <w:bidi w:val="0"/>
              <w:spacing w:before="0" w:after="283"/>
              <w:jc w:val="center"/>
              <w:rPr/>
            </w:pPr>
            <w:r>
              <w:rPr/>
              <w:t> </w:t>
            </w:r>
          </w:p>
        </w:tc>
        <w:tc>
          <w:tcPr>
            <w:tcW w:w="2252" w:type="dxa"/>
            <w:tcBorders/>
            <w:shd w:fill="CE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January 2023</w:t>
            </w:r>
          </w:p>
        </w:tc>
        <w:tc>
          <w:tcPr>
            <w:tcW w:w="146" w:type="dxa"/>
            <w:tcBorders/>
            <w:shd w:fill="CEF0FC" w:val="clear"/>
            <w:tcMar>
              <w:top w:w="0" w:type="dxa"/>
              <w:left w:w="0" w:type="dxa"/>
              <w:bottom w:w="0" w:type="dxa"/>
              <w:right w:w="0" w:type="dxa"/>
            </w:tcMar>
            <w:vAlign w:val="center"/>
          </w:tcPr>
          <w:p>
            <w:pPr>
              <w:pStyle w:val="TableContents"/>
              <w:bidi w:val="0"/>
              <w:spacing w:before="0" w:after="283"/>
              <w:jc w:val="center"/>
              <w:rPr/>
            </w:pPr>
            <w:r>
              <w:rPr/>
              <w:t> </w:t>
            </w:r>
          </w:p>
        </w:tc>
        <w:tc>
          <w:tcPr>
            <w:tcW w:w="2176" w:type="dxa"/>
            <w:tcBorders/>
            <w:shd w:fill="CE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January 2039</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Throughout the term of each lease agreement, the Company is responsible for paying, in addition to base rent, certain operating costs, such as common area maintenance, taxes, utilities, and insurance. These additional charges are considered variable lease costs and are recognized in the period in which the costs are incurred.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summarizes the Company’s lease costs:</w:t>
      </w:r>
    </w:p>
    <w:p>
      <w:pPr>
        <w:pStyle w:val="TextBody"/>
        <w:bidi w:val="0"/>
        <w:jc w:val="left"/>
        <w:rPr/>
      </w:pPr>
      <w:r>
        <w:rPr/>
        <w:t> </w:t>
      </w:r>
    </w:p>
    <w:tbl>
      <w:tblPr>
        <w:tblW w:w="4534" w:type="dxa"/>
        <w:jc w:val="left"/>
        <w:tblInd w:w="0" w:type="dxa"/>
        <w:tblLayout w:type="fixed"/>
        <w:tblCellMar>
          <w:top w:w="28" w:type="dxa"/>
          <w:left w:w="28" w:type="dxa"/>
          <w:bottom w:w="28" w:type="dxa"/>
          <w:right w:w="28" w:type="dxa"/>
        </w:tblCellMar>
      </w:tblPr>
      <w:tblGrid>
        <w:gridCol w:w="1801"/>
        <w:gridCol w:w="146"/>
        <w:gridCol w:w="272"/>
        <w:gridCol w:w="738"/>
        <w:gridCol w:w="188"/>
        <w:gridCol w:w="188"/>
        <w:gridCol w:w="272"/>
        <w:gridCol w:w="738"/>
        <w:gridCol w:w="191"/>
      </w:tblGrid>
      <w:tr>
        <w:trPr/>
        <w:tc>
          <w:tcPr>
            <w:tcW w:w="18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8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4,452</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lease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715</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Variable lease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2,149</w:t>
            </w:r>
          </w:p>
        </w:tc>
        <w:tc>
          <w:tcPr>
            <w:tcW w:w="1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1,826</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8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7,316</w:t>
            </w:r>
          </w:p>
        </w:tc>
        <w:tc>
          <w:tcPr>
            <w:tcW w:w="1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7,585</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March 31, 2026, the weighted-average remaining lease term was 7.2 years, and the weighted-average incremental borrowing rate was 10.9%.</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reconciles the Company’s undiscounted operating lease cash flows by fiscal year to the present value of the operating lease liabilities as of March 31, 2026 (in thousands):</w:t>
      </w:r>
    </w:p>
    <w:p>
      <w:pPr>
        <w:pStyle w:val="TextBody"/>
        <w:bidi w:val="0"/>
        <w:jc w:val="left"/>
        <w:rPr/>
      </w:pPr>
      <w:r>
        <w:rPr/>
        <w:t> </w:t>
      </w:r>
    </w:p>
    <w:tbl>
      <w:tblPr>
        <w:tblW w:w="5460" w:type="dxa"/>
        <w:jc w:val="left"/>
        <w:tblInd w:w="0" w:type="dxa"/>
        <w:tblLayout w:type="fixed"/>
        <w:tblCellMar>
          <w:top w:w="28" w:type="dxa"/>
          <w:left w:w="28" w:type="dxa"/>
          <w:bottom w:w="28" w:type="dxa"/>
          <w:right w:w="28" w:type="dxa"/>
        </w:tblCellMar>
      </w:tblPr>
      <w:tblGrid>
        <w:gridCol w:w="4111"/>
        <w:gridCol w:w="146"/>
        <w:gridCol w:w="211"/>
        <w:gridCol w:w="781"/>
        <w:gridCol w:w="211"/>
      </w:tblGrid>
      <w:tr>
        <w:trPr/>
        <w:tc>
          <w:tcPr>
            <w:tcW w:w="4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111" w:type="dxa"/>
            <w:tcBorders/>
            <w:shd w:fill="CE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 (remaining 9 months)</w:t>
            </w:r>
          </w:p>
        </w:tc>
        <w:tc>
          <w:tcPr>
            <w:tcW w:w="146" w:type="dxa"/>
            <w:tcBorders/>
            <w:shd w:fill="CE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E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E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16,912</w:t>
            </w:r>
          </w:p>
        </w:tc>
        <w:tc>
          <w:tcPr>
            <w:tcW w:w="211" w:type="dxa"/>
            <w:tcBorders/>
            <w:shd w:fill="CE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19,390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CE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E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E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E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14,698</w:t>
            </w:r>
          </w:p>
        </w:tc>
        <w:tc>
          <w:tcPr>
            <w:tcW w:w="211" w:type="dxa"/>
            <w:tcBorders/>
            <w:shd w:fill="CE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14,071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CE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146" w:type="dxa"/>
            <w:tcBorders/>
            <w:shd w:fill="CE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E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E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7,758</w:t>
            </w:r>
          </w:p>
        </w:tc>
        <w:tc>
          <w:tcPr>
            <w:tcW w:w="211" w:type="dxa"/>
            <w:tcBorders/>
            <w:shd w:fill="CE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2031 and 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40,943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11" w:type="dxa"/>
            <w:tcBorders/>
            <w:shd w:fill="CE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undiscounted lease payments</w:t>
            </w:r>
          </w:p>
        </w:tc>
        <w:tc>
          <w:tcPr>
            <w:tcW w:w="146" w:type="dxa"/>
            <w:tcBorders/>
            <w:shd w:fill="CE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E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E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113,772</w:t>
            </w:r>
          </w:p>
        </w:tc>
        <w:tc>
          <w:tcPr>
            <w:tcW w:w="211" w:type="dxa"/>
            <w:tcBorders/>
            <w:shd w:fill="CE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imputed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(38,444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11" w:type="dxa"/>
            <w:tcBorders/>
            <w:shd w:fill="CE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Present value of operating lease liabilities</w:t>
            </w:r>
          </w:p>
        </w:tc>
        <w:tc>
          <w:tcPr>
            <w:tcW w:w="146" w:type="dxa"/>
            <w:tcBorders/>
            <w:shd w:fill="CE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EF0FC" w:val="clear"/>
            <w:tcMar>
              <w:left w:w="0" w:type="dxa"/>
              <w:right w:w="0" w:type="dxa"/>
            </w:tcMar>
            <w:vAlign w:val="center"/>
          </w:tcPr>
          <w:p>
            <w:pPr>
              <w:pStyle w:val="TableContents"/>
              <w:bidi w:val="0"/>
              <w:spacing w:before="0" w:after="283"/>
              <w:jc w:val="left"/>
              <w:rPr/>
            </w:pPr>
            <w:r>
              <w:rPr/>
              <w:t> </w:t>
            </w:r>
          </w:p>
        </w:tc>
        <w:tc>
          <w:tcPr>
            <w:tcW w:w="781" w:type="dxa"/>
            <w:tcBorders>
              <w:top w:val="single" w:sz="4" w:space="0" w:color="000000"/>
              <w:bottom w:val="single" w:sz="4" w:space="0" w:color="000000"/>
            </w:tcBorders>
            <w:shd w:fill="CE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75,328</w:t>
            </w:r>
          </w:p>
        </w:tc>
        <w:tc>
          <w:tcPr>
            <w:tcW w:w="211" w:type="dxa"/>
            <w:tcBorders>
              <w:top w:val="single" w:sz="4" w:space="0" w:color="000000"/>
              <w:bottom w:val="single" w:sz="4" w:space="0" w:color="000000"/>
            </w:tcBorders>
            <w:shd w:fill="CEF0FC" w:val="clear"/>
            <w:tcMar>
              <w:left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current portion of 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(14,878</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11" w:type="dxa"/>
            <w:tcBorders/>
            <w:shd w:fill="CE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 net of current portion</w:t>
            </w:r>
          </w:p>
        </w:tc>
        <w:tc>
          <w:tcPr>
            <w:tcW w:w="146" w:type="dxa"/>
            <w:tcBorders/>
            <w:shd w:fill="CE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E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E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60,450</w:t>
            </w:r>
          </w:p>
        </w:tc>
        <w:tc>
          <w:tcPr>
            <w:tcW w:w="211" w:type="dxa"/>
            <w:tcBorders>
              <w:bottom w:val="double" w:sz="6" w:space="0" w:color="000000"/>
            </w:tcBorders>
            <w:shd w:fill="CE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eading1"/>
        <w:bidi w:val="0"/>
        <w:spacing w:before="240" w:after="283"/>
        <w:jc w:val="left"/>
        <w:rPr>
          <w:rFonts w:ascii="Times New Roman" w:hAnsi="Times New Roman"/>
          <w:color w:val="000000"/>
          <w:sz w:val="20"/>
        </w:rPr>
      </w:pPr>
      <w:r>
        <w:rPr>
          <w:rFonts w:ascii="Times New Roman" w:hAnsi="Times New Roman"/>
          <w:color w:val="000000"/>
          <w:sz w:val="20"/>
        </w:rPr>
        <w:t xml:space="preserve">11. Stockholders’ equity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March 2026, the Company entered into the Sales Agreement with TD Cowen, acting as sales agent, and filed a prospectus supplement with the SEC, pursuant to which the Company may offer and sell through TD Cowen up to $150.0 million of shares of the Company’s common stock from time to time under the ATM facility. The Sales Agreement amends and restates the Prior Sales Agreement. During the quarter ended March 31, 2026, the Company did not sell any shares of its common stock under the Prior Sales Agreement or the Sales Agreement.</w:t>
      </w:r>
    </w:p>
    <w:p>
      <w:pPr>
        <w:pStyle w:val="TextBody"/>
        <w:bidi w:val="0"/>
        <w:spacing w:before="240" w:after="283"/>
        <w:jc w:val="left"/>
        <w:rPr>
          <w:rFonts w:ascii="Times New Roman" w:hAnsi="Times New Roman"/>
          <w:sz w:val="20"/>
        </w:rPr>
      </w:pPr>
      <w:r>
        <w:rPr>
          <w:rFonts w:ascii="Times New Roman" w:hAnsi="Times New Roman"/>
          <w:color w:val="000000"/>
          <w:sz w:val="20"/>
        </w:rPr>
        <w:t>In August 2025, the Company completed an underwritten public offering pursuant to which it sold 24.3 million shares of its common stock, including 3.4 million shares pursuant to the full exercise of the underwriters' option to purchase additional shares, and pre-funded warrants to purchase 1.5 million shares of its common stock for net proceeds of approximately $80.6 million, after deducting underwriting discounts and commissions and offering expenses. The pre-funded warrants have an exercise price of $0.0001 per share of common stock. As the pre-funded warrants are indexed to the Company’s common stock and otherwise meet the requirements to be classified in equity, the Company recorded the consideration received from the issuance of the pre-funded warrants as additional paid-in capital on its consolidated balance sheet. The pre-funded warrants are exercisable at any time; however, the holders of pre-funded warrants may not exercise the warrant if the holder, together with its affiliates, would beneficially own more than 4.99% of the number of shares of the Company’s common stock outstanding immediately after giving effect to such exercise. The holders of pre-funded warrants may increase or decrease such percentages not in excess of 19.99% by providing at least 61 days’ prior notice to the Company. The pre-funded warrants do not expire. During the three months ended March 31, 2026, no pre-funded warrants sold in this offering were exercised.</w:t>
      </w:r>
      <w:r>
        <w:rPr>
          <w:rFonts w:ascii="Times New Roman" w:hAnsi="Times New Roman"/>
          <w:color w:val="0070C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February 2024, the Company completed an underwritten public offering pursuant to which it sold 21.8 million shares of its common stock, including 4.5 million shares pursuant to the full exercise of the underwriters' option to purchase additional shares, and pre-funded warrants to purchase 12.7 million shares of its common stock, for net proceeds of approximately $180.0 million, after deducting underwriting discounts and commissions and offering expenses. The pre-funded warrants have an exercise price of $0.0001 per share of common stock. As the pre-funded warrants are indexed to the Company’s common stock and otherwise meet the requirements to be classified in equity, the Company recorded the consideration received from the issuance of the pre-funded warrants as additional paid-in capital on the Company’s consolidated balance sheet. The pre-funded warrants are exercisable at any time; however, the holders of pre-funded warrants may not exercise the warrant if the holder, together with its affiliates, would beneficially own more than 4.99% of the number of shares of the Company’s common stock outstanding immediately after giving effect to such exercise. The holders of pre-funded warrants may increase or decrease such percentages not in excess of 19.99% by providing at least 61 days’ prior notice to the Company. The pre-funded warrants do not expire. During the three months ended March 31, 2026, 2.2 million pre-funded warrants sold in this offering were exercised.</w:t>
      </w:r>
    </w:p>
    <w:p>
      <w:pPr>
        <w:pStyle w:val="Heading1"/>
        <w:bidi w:val="0"/>
        <w:spacing w:before="360" w:after="283"/>
        <w:jc w:val="left"/>
        <w:rPr>
          <w:rFonts w:ascii="Times New Roman" w:hAnsi="Times New Roman"/>
          <w:color w:val="000000"/>
          <w:sz w:val="20"/>
        </w:rPr>
      </w:pPr>
      <w:r>
        <w:rPr>
          <w:rFonts w:ascii="Times New Roman" w:hAnsi="Times New Roman"/>
          <w:color w:val="000000"/>
          <w:sz w:val="20"/>
        </w:rPr>
        <w:t xml:space="preserve">12. Stock-based compensation </w:t>
      </w:r>
    </w:p>
    <w:p>
      <w:pPr>
        <w:pStyle w:val="Heading2"/>
        <w:bidi w:val="0"/>
        <w:spacing w:before="120" w:after="283"/>
        <w:jc w:val="left"/>
        <w:rPr>
          <w:rFonts w:ascii="Times New Roman" w:hAnsi="Times New Roman"/>
          <w:i/>
          <w:color w:val="000000"/>
          <w:sz w:val="20"/>
        </w:rPr>
      </w:pPr>
      <w:r>
        <w:rPr>
          <w:rFonts w:ascii="Times New Roman" w:hAnsi="Times New Roman"/>
          <w:i/>
          <w:color w:val="000000"/>
          <w:sz w:val="20"/>
        </w:rPr>
        <w:t>Equity incentive plans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February 2021, the Company adopted the 2021 Incentive Award Plan (2021 Plan) and the 2021 Employee Stock Purchase Plan (2021 ESPP), both of which became effective on the completion of the Company’s initial public offering. The 2021 Plan provides for a variety of stock-based compensation awards, including stock options, restricted stock awards (RSAs), and restricted stock units (RSUs). The 2021 ESPP allows eligible employees to purchase shares of the Company’s common stock at a discount through payroll deductions of up to 15% of their earnings, subject to plan limitations. Unless otherwise determined by the Company’s board of directors, employees may purchase shares at 85% of the lower of the fair market value of the Company’s common stock on the first date of an offering period or on the purchase date. As of March 31, 2026, 40.9 million shares and 5.8 million shares were available for future issuance under the 2021 Plan and the 2021 ESPP, respectively.</w:t>
      </w:r>
    </w:p>
    <w:p>
      <w:pPr>
        <w:pStyle w:val="Heading2"/>
        <w:bidi w:val="0"/>
        <w:spacing w:before="360" w:after="283"/>
        <w:jc w:val="left"/>
        <w:rPr>
          <w:rFonts w:ascii="Times New Roman" w:hAnsi="Times New Roman"/>
          <w:sz w:val="20"/>
        </w:rPr>
      </w:pPr>
      <w:r>
        <w:rPr>
          <w:rFonts w:ascii="Times New Roman" w:hAnsi="Times New Roman"/>
          <w:i/>
          <w:color w:val="000000"/>
          <w:sz w:val="20"/>
        </w:rPr>
        <w:t>Stock-based compensation expense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Stock-based compensation expense is recognized in the condensed consolidated statements of operations as follows:</w:t>
      </w:r>
    </w:p>
    <w:p>
      <w:pPr>
        <w:pStyle w:val="TextBody"/>
        <w:bidi w:val="0"/>
        <w:jc w:val="left"/>
        <w:rPr/>
      </w:pPr>
      <w:r>
        <w:rPr/>
        <w:t> </w:t>
      </w:r>
    </w:p>
    <w:tbl>
      <w:tblPr>
        <w:tblW w:w="6584" w:type="dxa"/>
        <w:jc w:val="left"/>
        <w:tblInd w:w="0" w:type="dxa"/>
        <w:tblLayout w:type="fixed"/>
        <w:tblCellMar>
          <w:top w:w="28" w:type="dxa"/>
          <w:left w:w="28" w:type="dxa"/>
          <w:bottom w:w="28" w:type="dxa"/>
          <w:right w:w="28" w:type="dxa"/>
        </w:tblCellMar>
      </w:tblPr>
      <w:tblGrid>
        <w:gridCol w:w="3651"/>
        <w:gridCol w:w="346"/>
        <w:gridCol w:w="272"/>
        <w:gridCol w:w="738"/>
        <w:gridCol w:w="188"/>
        <w:gridCol w:w="188"/>
        <w:gridCol w:w="272"/>
        <w:gridCol w:w="738"/>
        <w:gridCol w:w="191"/>
      </w:tblGrid>
      <w:tr>
        <w:trPr/>
        <w:tc>
          <w:tcPr>
            <w:tcW w:w="365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3,109</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2,553</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stock-based compensation expense</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5,662</w:t>
            </w:r>
          </w:p>
        </w:tc>
        <w:tc>
          <w:tcPr>
            <w:tcW w:w="1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7,022</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Unrecognized stock-based compensation costs related to unvested awards and the weighted-average period over which the costs are expected to be recognized as of March 31, 2026 are as follows: </w:t>
      </w:r>
    </w:p>
    <w:p>
      <w:pPr>
        <w:pStyle w:val="TextBody"/>
        <w:bidi w:val="0"/>
        <w:jc w:val="left"/>
        <w:rPr/>
      </w:pPr>
      <w:r>
        <w:rPr/>
        <w:t> </w:t>
      </w:r>
    </w:p>
    <w:tbl>
      <w:tblPr>
        <w:tblW w:w="8383" w:type="dxa"/>
        <w:jc w:val="left"/>
        <w:tblInd w:w="0" w:type="dxa"/>
        <w:tblLayout w:type="fixed"/>
        <w:tblCellMar>
          <w:top w:w="28" w:type="dxa"/>
          <w:left w:w="28" w:type="dxa"/>
          <w:bottom w:w="28" w:type="dxa"/>
          <w:right w:w="28" w:type="dxa"/>
        </w:tblCellMar>
      </w:tblPr>
      <w:tblGrid>
        <w:gridCol w:w="5596"/>
        <w:gridCol w:w="146"/>
        <w:gridCol w:w="267"/>
        <w:gridCol w:w="858"/>
        <w:gridCol w:w="146"/>
        <w:gridCol w:w="146"/>
        <w:gridCol w:w="211"/>
        <w:gridCol w:w="676"/>
        <w:gridCol w:w="146"/>
        <w:gridCol w:w="191"/>
      </w:tblGrid>
      <w:tr>
        <w:trPr/>
        <w:tc>
          <w:tcPr>
            <w:tcW w:w="5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5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 Options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RSUs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Unrecognized stock-based compensation expense (in thousands)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period costs expected to be recognized (in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Heading2"/>
        <w:bidi w:val="0"/>
        <w:jc w:val="left"/>
        <w:rPr/>
      </w:pPr>
      <w:r>
        <w:rPr/>
        <w:t> </w:t>
      </w:r>
    </w:p>
    <w:p>
      <w:pPr>
        <w:pStyle w:val="Heading2"/>
        <w:bidi w:val="0"/>
        <w:spacing w:before="160" w:after="283"/>
        <w:jc w:val="left"/>
        <w:rPr>
          <w:rFonts w:ascii="Times New Roman" w:hAnsi="Times New Roman"/>
          <w:sz w:val="20"/>
        </w:rPr>
      </w:pPr>
      <w:r>
        <w:rPr>
          <w:rFonts w:ascii="Times New Roman" w:hAnsi="Times New Roman"/>
          <w:i/>
          <w:color w:val="000000"/>
          <w:sz w:val="20"/>
        </w:rPr>
        <w:t>Stock options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summary of the Company’s stock option activity is as follows: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151"/>
        <w:gridCol w:w="146"/>
        <w:gridCol w:w="205"/>
        <w:gridCol w:w="962"/>
        <w:gridCol w:w="166"/>
        <w:gridCol w:w="146"/>
        <w:gridCol w:w="396"/>
        <w:gridCol w:w="1075"/>
        <w:gridCol w:w="146"/>
        <w:gridCol w:w="146"/>
        <w:gridCol w:w="423"/>
        <w:gridCol w:w="1048"/>
        <w:gridCol w:w="146"/>
        <w:gridCol w:w="146"/>
        <w:gridCol w:w="358"/>
        <w:gridCol w:w="1151"/>
        <w:gridCol w:w="394"/>
      </w:tblGrid>
      <w:tr>
        <w:trPr/>
        <w:tc>
          <w:tcPr>
            <w:tcW w:w="3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r>
      <w:tr>
        <w:trPr/>
        <w:tc>
          <w:tcPr>
            <w:tcW w:w="3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Stock Options </w:t>
              <w:br/>
              <w:t>(in thousands)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Weighted-Average</w:t>
              <w:br/>
              <w:t>Exercise Price per</w:t>
              <w:br/>
              <w:t>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Weighted-Average</w:t>
              <w:br/>
              <w:t>Remaining</w:t>
              <w:br/>
              <w:t xml:space="preserve">Contractual Life </w:t>
              <w:br/>
              <w:t>(in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 Intrinsic</w:t>
              <w:br/>
              <w:t>Value</w:t>
              <w:br/>
              <w:t>(in thousands)</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11,384</w:t>
            </w:r>
          </w:p>
        </w:tc>
        <w:tc>
          <w:tcPr>
            <w:tcW w:w="3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1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1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Forfeited/Cancelled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27,875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3,264</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Exercisable as of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15,584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2,086</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fair value of stock options granted to employees, directors, and consultants was estimated on the date of grant using the Black-Scholes option pricing model using the following assumptions:</w:t>
      </w:r>
    </w:p>
    <w:p>
      <w:pPr>
        <w:pStyle w:val="TextBody"/>
        <w:bidi w:val="0"/>
        <w:jc w:val="left"/>
        <w:rPr/>
      </w:pPr>
      <w:r>
        <w:rPr/>
        <w:t> </w:t>
      </w:r>
    </w:p>
    <w:tbl>
      <w:tblPr>
        <w:tblW w:w="4495" w:type="dxa"/>
        <w:jc w:val="left"/>
        <w:tblInd w:w="0" w:type="dxa"/>
        <w:tblLayout w:type="fixed"/>
        <w:tblCellMar>
          <w:top w:w="28" w:type="dxa"/>
          <w:left w:w="28" w:type="dxa"/>
          <w:bottom w:w="28" w:type="dxa"/>
          <w:right w:w="28" w:type="dxa"/>
        </w:tblCellMar>
      </w:tblPr>
      <w:tblGrid>
        <w:gridCol w:w="1876"/>
        <w:gridCol w:w="146"/>
        <w:gridCol w:w="1141"/>
        <w:gridCol w:w="146"/>
        <w:gridCol w:w="1186"/>
      </w:tblGrid>
      <w:tr>
        <w:trPr/>
        <w:tc>
          <w:tcPr>
            <w:tcW w:w="18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18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7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r>
      <w:tr>
        <w:trPr/>
        <w:tc>
          <w:tcPr>
            <w:tcW w:w="18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Assumptions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r>
      <w:tr>
        <w:trPr/>
        <w:tc>
          <w:tcPr>
            <w:tcW w:w="18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 free interest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3.7% – 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 – 4.4%</w:t>
            </w:r>
          </w:p>
        </w:tc>
      </w:tr>
      <w:tr>
        <w:trPr/>
        <w:tc>
          <w:tcPr>
            <w:tcW w:w="18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75.0%</w:t>
            </w:r>
          </w:p>
        </w:tc>
      </w:tr>
      <w:tr>
        <w:trPr/>
        <w:tc>
          <w:tcPr>
            <w:tcW w:w="18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5.43 – 6.50</w:t>
            </w:r>
          </w:p>
        </w:tc>
      </w:tr>
      <w:tr>
        <w:trPr/>
        <w:tc>
          <w:tcPr>
            <w:tcW w:w="18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dividend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summarizes additional information related to stock option activity:</w:t>
      </w:r>
    </w:p>
    <w:p>
      <w:pPr>
        <w:pStyle w:val="TextBody"/>
        <w:bidi w:val="0"/>
        <w:jc w:val="left"/>
        <w:rPr/>
      </w:pPr>
      <w:r>
        <w:rPr/>
        <w:t> </w:t>
      </w:r>
    </w:p>
    <w:tbl>
      <w:tblPr>
        <w:tblW w:w="8346" w:type="dxa"/>
        <w:jc w:val="left"/>
        <w:tblInd w:w="0" w:type="dxa"/>
        <w:tblLayout w:type="fixed"/>
        <w:tblCellMar>
          <w:top w:w="28" w:type="dxa"/>
          <w:left w:w="28" w:type="dxa"/>
          <w:bottom w:w="28" w:type="dxa"/>
          <w:right w:w="28" w:type="dxa"/>
        </w:tblCellMar>
      </w:tblPr>
      <w:tblGrid>
        <w:gridCol w:w="5611"/>
        <w:gridCol w:w="146"/>
        <w:gridCol w:w="289"/>
        <w:gridCol w:w="638"/>
        <w:gridCol w:w="200"/>
        <w:gridCol w:w="200"/>
        <w:gridCol w:w="289"/>
        <w:gridCol w:w="782"/>
        <w:gridCol w:w="191"/>
      </w:tblGrid>
      <w:tr>
        <w:trPr/>
        <w:tc>
          <w:tcPr>
            <w:tcW w:w="56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grant date fair value per share for options granted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Aggregate intrinsic value of stock options exercised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eading2"/>
        <w:bidi w:val="0"/>
        <w:jc w:val="left"/>
        <w:rPr>
          <w:rFonts w:ascii="Times New Roman" w:hAnsi="Times New Roman"/>
          <w:i/>
          <w:color w:val="000000"/>
          <w:sz w:val="20"/>
        </w:rPr>
      </w:pPr>
      <w:r>
        <w:rPr>
          <w:rFonts w:ascii="Times New Roman" w:hAnsi="Times New Roman"/>
          <w:i/>
          <w:color w:val="000000"/>
          <w:sz w:val="20"/>
        </w:rPr>
        <w:t>Restricted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summary of the Company’s RSU activity is as follows:</w:t>
      </w:r>
    </w:p>
    <w:p>
      <w:pPr>
        <w:pStyle w:val="TextBody"/>
        <w:bidi w:val="0"/>
        <w:jc w:val="left"/>
        <w:rPr/>
      </w:pPr>
      <w:r>
        <w:rPr/>
        <w:t> </w:t>
      </w:r>
    </w:p>
    <w:tbl>
      <w:tblPr>
        <w:tblW w:w="6517" w:type="dxa"/>
        <w:jc w:val="left"/>
        <w:tblInd w:w="0" w:type="dxa"/>
        <w:tblLayout w:type="fixed"/>
        <w:tblCellMar>
          <w:top w:w="28" w:type="dxa"/>
          <w:left w:w="28" w:type="dxa"/>
          <w:bottom w:w="28" w:type="dxa"/>
          <w:right w:w="28" w:type="dxa"/>
        </w:tblCellMar>
      </w:tblPr>
      <w:tblGrid>
        <w:gridCol w:w="2926"/>
        <w:gridCol w:w="146"/>
        <w:gridCol w:w="229"/>
        <w:gridCol w:w="896"/>
        <w:gridCol w:w="166"/>
        <w:gridCol w:w="146"/>
        <w:gridCol w:w="458"/>
        <w:gridCol w:w="1013"/>
        <w:gridCol w:w="146"/>
        <w:gridCol w:w="391"/>
      </w:tblGrid>
      <w:tr>
        <w:trPr/>
        <w:tc>
          <w:tcPr>
            <w:tcW w:w="29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RSUs </w:t>
              <w:br/>
              <w:t>(in thousands)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RSUs</w:t>
              <w:br/>
              <w:t>Weighted-Average</w:t>
              <w:br/>
              <w:t>Grant Date Fair</w:t>
              <w:br/>
              <w:t>Value 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as of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fair value of RSUs that vested during the three months ended March 31, 2026 and 2025 was $2.9 million and $2.1 million, respectively.</w:t>
      </w:r>
    </w:p>
    <w:p>
      <w:pPr>
        <w:pStyle w:val="Heading1"/>
        <w:bidi w:val="0"/>
        <w:spacing w:before="360" w:after="283"/>
        <w:jc w:val="left"/>
        <w:rPr>
          <w:rFonts w:ascii="Times New Roman" w:hAnsi="Times New Roman"/>
          <w:color w:val="000000"/>
          <w:sz w:val="20"/>
        </w:rPr>
      </w:pPr>
      <w:r>
        <w:rPr>
          <w:rFonts w:ascii="Times New Roman" w:hAnsi="Times New Roman"/>
          <w:color w:val="000000"/>
          <w:sz w:val="20"/>
        </w:rPr>
        <w:t xml:space="preserve">13. Income taxes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income tax provision for interim periods is determined using an estimate of the Company’s annual effective tax rate, adjusted for discrete items arising in the quarter. The Company’s effective tax rate differs from the U.S. statutory tax rate primarily due to a valuation allowance on the deferred tax assets. Deferred tax assets and deferred tax liabilities are recognized based on temporary differences between the financial reporting and tax basis of assets and liabilities using statutory rates. A valuation allowance is recorded against deferred tax assets if it is more likely than not that some or all of the deferred tax assets will not be realized. Due to the uncertainty surrounding the realization of the favorable tax attributes in future tax returns, the Company has recorded a full valuation allowance against the Company’s otherwise recognizable net deferred tax assets.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applies judgment in its determination of the financial statement recognition and measurement of tax positions taken or expected to be taken in a tax return. As of March 31, 2026 and December 31, 2025, the Company’s uncertain tax positions were immaterial.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One Big Beautiful Bill Act (OBBBA), enacted on July 4, 2025, introduced notable changes to the U.S. Internal Revenue Code, including immediate expensing of domestic research and development costs that are incident to the development or improvement of a product, process, formula, invention, computer software, or technique. As previously required under the Tax Cuts and Jobs Act, the Company capitalized research and development expenditures in the years ended December 31, 2022 through December 31, 2024. With the enactment of OBBBA, the Company began deducting domestic research and development costs in 2025.</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spacing w:before="360" w:after="283"/>
        <w:jc w:val="left"/>
        <w:rPr>
          <w:rFonts w:ascii="Times New Roman" w:hAnsi="Times New Roman"/>
          <w:color w:val="000000"/>
          <w:sz w:val="20"/>
        </w:rPr>
      </w:pPr>
      <w:r>
        <w:rPr>
          <w:rFonts w:ascii="Times New Roman" w:hAnsi="Times New Roman"/>
          <w:color w:val="000000"/>
          <w:sz w:val="20"/>
        </w:rPr>
        <w:t xml:space="preserve">14. Net loss per share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Basic and diluted net loss per common share are calculated by dividing net loss by the weighted-average number of common shares outstanding during the period, without consideration for common stock equivalents. The Company was in a loss position for all periods presented, and basic net loss per share and diluted net loss per share are therefore the same for all periods, as the inclusion of all potential common securities outstanding would have been anti-dilutive.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securities were excluded from the computation of net loss per diluted share of common stock for periods presented as their effect would have been anti-dilutive:</w:t>
      </w:r>
    </w:p>
    <w:p>
      <w:pPr>
        <w:pStyle w:val="TextBody"/>
        <w:bidi w:val="0"/>
        <w:jc w:val="left"/>
        <w:rPr/>
      </w:pPr>
      <w:r>
        <w:rPr/>
        <w:t> </w:t>
      </w:r>
    </w:p>
    <w:tbl>
      <w:tblPr>
        <w:tblW w:w="5708" w:type="dxa"/>
        <w:jc w:val="left"/>
        <w:tblInd w:w="0" w:type="dxa"/>
        <w:tblLayout w:type="fixed"/>
        <w:tblCellMar>
          <w:top w:w="28" w:type="dxa"/>
          <w:left w:w="28" w:type="dxa"/>
          <w:bottom w:w="28" w:type="dxa"/>
          <w:right w:w="28" w:type="dxa"/>
        </w:tblCellMar>
      </w:tblPr>
      <w:tblGrid>
        <w:gridCol w:w="2971"/>
        <w:gridCol w:w="146"/>
        <w:gridCol w:w="181"/>
        <w:gridCol w:w="838"/>
        <w:gridCol w:w="181"/>
        <w:gridCol w:w="181"/>
        <w:gridCol w:w="181"/>
        <w:gridCol w:w="838"/>
        <w:gridCol w:w="191"/>
      </w:tblGrid>
      <w:tr>
        <w:trPr/>
        <w:tc>
          <w:tcPr>
            <w:tcW w:w="29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0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00"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to purchase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27,875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25,555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RSUs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5,114</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32,989</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30,015</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sz w:val="20"/>
        </w:rPr>
      </w:pPr>
      <w:r>
        <w:rPr>
          <w:rFonts w:ascii="Times New Roman" w:hAnsi="Times New Roman"/>
          <w:b/>
          <w:color w:val="000000"/>
          <w:sz w:val="20"/>
        </w:rPr>
        <w:t>15. Employee benefit plan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January 2019, the Company adopted a 401(k) retirement and savings plan (the 401(k) Plan) covering all employees. The 401(k) Plan allows employees to make pre- and post-tax contributions up to the maximum allowable amount set by the IRS. The Company matches each participant’s 401(k) contributions in cash, up to $4,500 per year per participant, effective as of January 1, 2026.</w:t>
      </w:r>
    </w:p>
    <w:p>
      <w:pPr>
        <w:pStyle w:val="TextBody"/>
        <w:bidi w:val="0"/>
        <w:jc w:val="left"/>
        <w:rPr/>
      </w:pPr>
      <w:r>
        <w:rPr/>
        <w:t> </w:t>
      </w:r>
    </w:p>
    <w:p>
      <w:pPr>
        <w:pStyle w:val="TextBody"/>
        <w:bidi w:val="0"/>
        <w:spacing w:before="160" w:after="283"/>
        <w:jc w:val="left"/>
        <w:rPr>
          <w:rFonts w:ascii="Times New Roman" w:hAnsi="Times New Roman"/>
          <w:sz w:val="20"/>
        </w:rPr>
      </w:pPr>
      <w:r>
        <w:rPr>
          <w:rFonts w:ascii="Times New Roman" w:hAnsi="Times New Roman"/>
          <w:b/>
          <w:color w:val="000000"/>
          <w:sz w:val="20"/>
        </w:rPr>
        <w:t>16. Subsequent event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April 2026, the Company entered into a stock purchase agreement with Mayo Clinic, pursuant to which the Company agreed to sell to Mayo Clinic, and Mayo Clinic agreed to purchase from the Company, (i) 7,507,507 shares (the Initial Shares) of the Company’s common stock at a price of $3.33 per share, for gross proceeds of approximately $25.0 million, and (ii) if elected by Mayo Clinic on or prior to August 31, 2026 (the Election), an additional 7,507,507 shares of common stock (the Additional Shares) at a price of $3.33 per share, for additional gross proceeds of approximately $25.0 million. The closing of the purchase and sale of the Initial Shares occurred on April 15, 2026. If the Election is made, the closing of the purchase and sale of the Additional Shares is expected to occur between the tenth and twentieth business days following Mayo Clinic’s delivery of the Election to the Company, subject to customary closing conditions.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10" w:name="item_2_managements_discussion_analysis_f"/>
      <w:bookmarkEnd w:id="10"/>
      <w:r>
        <w:rPr>
          <w:rFonts w:ascii="Times New Roman" w:hAnsi="Times New Roman"/>
          <w:b/>
          <w:color w:val="000000"/>
          <w:sz w:val="20"/>
        </w:rPr>
        <w:t>Item 2. Management’s Discussion and Analysis of</w:t>
      </w:r>
      <w:r>
        <w:rPr>
          <w:rFonts w:ascii="Times New Roman" w:hAnsi="Times New Roman"/>
          <w:color w:val="000000"/>
          <w:sz w:val="20"/>
        </w:rPr>
        <w:t xml:space="preserve"> </w:t>
      </w:r>
      <w:r>
        <w:rPr>
          <w:rFonts w:ascii="Times New Roman" w:hAnsi="Times New Roman"/>
          <w:b/>
          <w:color w:val="000000"/>
          <w:sz w:val="20"/>
        </w:rPr>
        <w:t>Financial Condition and Results of Operations</w:t>
      </w:r>
    </w:p>
    <w:p>
      <w:pPr>
        <w:pStyle w:val="TextBody"/>
        <w:bidi w:val="0"/>
        <w:spacing w:before="120" w:after="283"/>
        <w:jc w:val="left"/>
        <w:rPr>
          <w:rFonts w:ascii="Times New Roman" w:hAnsi="Times New Roman"/>
          <w:sz w:val="20"/>
        </w:rPr>
      </w:pPr>
      <w:r>
        <w:rPr>
          <w:rFonts w:ascii="Times New Roman" w:hAnsi="Times New Roman"/>
          <w:i/>
          <w:color w:val="000000"/>
          <w:sz w:val="20"/>
        </w:rPr>
        <w:t>You should read the following discussion and analysis of our financial condition and results of operations together with our unaudited condensed consolidated financial statements and the related notes included elsewhere in this Quarterly Report and our audited consolidated financial statements and notes thereto and the related Management’s Discussion and Analysis of Financial Condition and Results of Operations included as part of our Annual Report on Form 10-K for the year ended December 31, 2025, as filed with the SEC on March 3, 2026 (2025 Annual Report). This discussion and analysis and other parts of this Quarterly Report contain forward-looking statements that are based upon current beliefs, plans, and expectations related to future events and our future financial performance that involve risks, uncertainties, and assumptions, such as statements regarding our intentions, plans, objectives, and expectations for our business. Our actual results and the timing of selected events could differ materially from those described in or implied by these forward-looking statements as a result of numerous factors, including those set forth in the section of this Quarterly Report titled “Risk Factors.” See also the section of this Quarterly Report titled “Special Note Regarding Forward-Looking Statements.”</w:t>
      </w:r>
      <w:r>
        <w:rPr>
          <w:rFonts w:ascii="Times New Roman" w:hAnsi="Times New Roman"/>
          <w:color w:val="000000"/>
          <w:sz w:val="20"/>
        </w:rPr>
        <w:t xml:space="preserve"> </w:t>
      </w:r>
    </w:p>
    <w:p>
      <w:pPr>
        <w:pStyle w:val="Heading1"/>
        <w:bidi w:val="0"/>
        <w:spacing w:before="360" w:after="283"/>
        <w:jc w:val="left"/>
        <w:rPr>
          <w:rFonts w:ascii="Times New Roman" w:hAnsi="Times New Roman"/>
          <w:color w:val="000000"/>
          <w:sz w:val="20"/>
        </w:rPr>
      </w:pPr>
      <w:r>
        <w:rPr>
          <w:rFonts w:ascii="Times New Roman" w:hAnsi="Times New Roman"/>
          <w:color w:val="000000"/>
          <w:sz w:val="20"/>
        </w:rPr>
        <w:t>Overview</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We were founded on the belief that engineered cells will be one of the most important transformations in medicine over the next several decades. The burden of diseases that can be addressed at their root cause through engineered cells is significant. We view engineered cells as having the potential to be as therapeutically disruptive as biologic drugs to clinical practice, enabling us to repair cells in the body when possible and replace them when needed. We have developed </w:t>
      </w:r>
      <w:r>
        <w:rPr>
          <w:rFonts w:ascii="Times New Roman" w:hAnsi="Times New Roman"/>
          <w:i/>
          <w:color w:val="000000"/>
          <w:sz w:val="20"/>
        </w:rPr>
        <w:t>ex vivo</w:t>
      </w:r>
      <w:r>
        <w:rPr>
          <w:rFonts w:ascii="Times New Roman" w:hAnsi="Times New Roman"/>
          <w:color w:val="000000"/>
          <w:sz w:val="20"/>
        </w:rPr>
        <w:t xml:space="preserve"> and </w:t>
      </w:r>
      <w:r>
        <w:rPr>
          <w:rFonts w:ascii="Times New Roman" w:hAnsi="Times New Roman"/>
          <w:i/>
          <w:color w:val="000000"/>
          <w:sz w:val="20"/>
        </w:rPr>
        <w:t>in vivo</w:t>
      </w:r>
      <w:r>
        <w:rPr>
          <w:rFonts w:ascii="Times New Roman" w:hAnsi="Times New Roman"/>
          <w:color w:val="000000"/>
          <w:sz w:val="20"/>
        </w:rPr>
        <w:t xml:space="preserve"> cell engineering platforms to revolutionize treatment across a broad array of therapeutic areas with unmet treatment needs, including type 1 diabetes, oncology, and B-cell mediated autoimmune diseases.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For our </w:t>
      </w:r>
      <w:r>
        <w:rPr>
          <w:rFonts w:ascii="Times New Roman" w:hAnsi="Times New Roman"/>
          <w:i/>
          <w:color w:val="000000"/>
          <w:sz w:val="20"/>
        </w:rPr>
        <w:t>ex vivo</w:t>
      </w:r>
      <w:r>
        <w:rPr>
          <w:rFonts w:ascii="Times New Roman" w:hAnsi="Times New Roman"/>
          <w:color w:val="000000"/>
          <w:sz w:val="20"/>
        </w:rPr>
        <w:t xml:space="preserve"> platform, we have made focused investments in our hypoimmune platform technology, which we refer to as our HIP technology, with the twin goals of engineering allogeneic cells that can "hide" from the patient's immune system to overcome the fundamental challenge of immune rejection and cell persistence, and that we can manufacture at scale. A successful therapeutic requires cells that can engraft, function, and persist in the body, and we believe our approach can unlock a wave of disruptive therapeutics, starting in type 1 diabetes. For </w:t>
      </w:r>
      <w:r>
        <w:rPr>
          <w:rFonts w:ascii="Times New Roman" w:hAnsi="Times New Roman"/>
          <w:i/>
          <w:color w:val="000000"/>
          <w:sz w:val="20"/>
        </w:rPr>
        <w:t xml:space="preserve">in vivo </w:t>
      </w:r>
      <w:r>
        <w:rPr>
          <w:rFonts w:ascii="Times New Roman" w:hAnsi="Times New Roman"/>
          <w:color w:val="000000"/>
          <w:sz w:val="20"/>
        </w:rPr>
        <w:t xml:space="preserve">therapies that aim to repair or control genes in the body, a successful product candidate requires both gene modification and </w:t>
      </w:r>
      <w:r>
        <w:rPr>
          <w:rFonts w:ascii="Times New Roman" w:hAnsi="Times New Roman"/>
          <w:i/>
          <w:color w:val="000000"/>
          <w:sz w:val="20"/>
        </w:rPr>
        <w:t>in vivo</w:t>
      </w:r>
      <w:r>
        <w:rPr>
          <w:rFonts w:ascii="Times New Roman" w:hAnsi="Times New Roman"/>
          <w:color w:val="000000"/>
          <w:sz w:val="20"/>
        </w:rPr>
        <w:t xml:space="preserve"> delivery of the therapeutic payload. Our initial focus is on cell-specific delivery of genetic payloads, known as chimeric antigen receptors (CARs), to a patient’s T cells, resulting in the generation and proliferation of CAR T cells, which have been shown to deplete a patient’s disease-causing B cells.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We are currently focused on advancing three distinct therapeutics, each of which leverages one of these platform technologies. SC451 is our HIP-edited product candidate for the treatment of type 1 diabetes. SG293 is our </w:t>
      </w:r>
      <w:r>
        <w:rPr>
          <w:rFonts w:ascii="Times New Roman" w:hAnsi="Times New Roman"/>
          <w:i/>
          <w:color w:val="000000"/>
          <w:sz w:val="20"/>
        </w:rPr>
        <w:t xml:space="preserve">in vivo </w:t>
      </w:r>
      <w:r>
        <w:rPr>
          <w:rFonts w:ascii="Times New Roman" w:hAnsi="Times New Roman"/>
          <w:color w:val="000000"/>
          <w:sz w:val="20"/>
        </w:rPr>
        <w:t xml:space="preserve">CAR T product candidate for the treatment of B cell malignancies and B cell mediated autoimmune diseases, and SG227 is our </w:t>
      </w:r>
      <w:r>
        <w:rPr>
          <w:rFonts w:ascii="Times New Roman" w:hAnsi="Times New Roman"/>
          <w:i/>
          <w:color w:val="000000"/>
          <w:sz w:val="20"/>
        </w:rPr>
        <w:t xml:space="preserve">in vivo </w:t>
      </w:r>
      <w:r>
        <w:rPr>
          <w:rFonts w:ascii="Times New Roman" w:hAnsi="Times New Roman"/>
          <w:color w:val="000000"/>
          <w:sz w:val="20"/>
        </w:rPr>
        <w:t>CAR T product candidate for the treatment of multiple myeloma. We retain worldwide rights to each of these product candidates.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Type 1 Diabetes</w:t>
      </w:r>
      <w:r>
        <w:rPr>
          <w:rFonts w:ascii="Times New Roman" w:hAnsi="Times New Roman"/>
          <w:color w:val="000000"/>
          <w:sz w:val="20"/>
        </w:rPr>
        <w:t xml:space="preserve">: Almost ten million people suffer from type 1 diabetes (T1D) worldwide, and there has been limited progress in treatments for this disease since the advent of insulin injections over 100 years ago. We are developing SC451, a HIP-modified, stem cell-derived pancreatic islet cell therapy, for the treatment of T1D. The goal of this therapy is euglycemia, or normal blood glucose, without the need for exogenous insulin injections or immunosuppression. Through a first-in-human investigator-sponsored study (IST), we have shown that UP421, an allogeneic, primary islet cell therapy engineered with our HIP technology, can survive and function for 14 months post-transplant in a patient with T1D without the need for immunosuppression. We have incorporated this HIP technology into a more scalable manufacturing platform with SC451 and expect to file an investigational new drug application (IND) as well as begin a Phase 1 clinical trial for this therapy as early as this year.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i/>
          <w:color w:val="000000"/>
          <w:sz w:val="20"/>
        </w:rPr>
        <w:t>In vivo</w:t>
      </w:r>
      <w:r>
        <w:rPr>
          <w:color w:val="000000"/>
        </w:rPr>
        <w:t xml:space="preserve"> </w:t>
      </w:r>
      <w:r>
        <w:rPr>
          <w:rFonts w:ascii="Times New Roman" w:hAnsi="Times New Roman"/>
          <w:b/>
          <w:color w:val="000000"/>
          <w:sz w:val="20"/>
        </w:rPr>
        <w:t>CAR T cells</w:t>
      </w:r>
      <w:r>
        <w:rPr>
          <w:rFonts w:ascii="Times New Roman" w:hAnsi="Times New Roman"/>
          <w:color w:val="000000"/>
          <w:sz w:val="20"/>
        </w:rPr>
        <w:t xml:space="preserve">: Using our fusogen platform, which enables cell-specific, </w:t>
      </w:r>
      <w:r>
        <w:rPr>
          <w:rFonts w:ascii="Times New Roman" w:hAnsi="Times New Roman"/>
          <w:i/>
          <w:color w:val="000000"/>
          <w:sz w:val="20"/>
        </w:rPr>
        <w:t>in vivo</w:t>
      </w:r>
      <w:r>
        <w:rPr>
          <w:color w:val="000000"/>
        </w:rPr>
        <w:t xml:space="preserve"> </w:t>
      </w:r>
      <w:r>
        <w:rPr>
          <w:rFonts w:ascii="Times New Roman" w:hAnsi="Times New Roman"/>
          <w:color w:val="000000"/>
          <w:sz w:val="20"/>
        </w:rPr>
        <w:t xml:space="preserve">delivery of various payloads, we are developing two </w:t>
      </w:r>
      <w:r>
        <w:rPr>
          <w:rFonts w:ascii="Times New Roman" w:hAnsi="Times New Roman"/>
          <w:i/>
          <w:color w:val="000000"/>
          <w:sz w:val="20"/>
        </w:rPr>
        <w:t xml:space="preserve">in vivo </w:t>
      </w:r>
      <w:r>
        <w:rPr>
          <w:rFonts w:ascii="Times New Roman" w:hAnsi="Times New Roman"/>
          <w:color w:val="000000"/>
          <w:sz w:val="20"/>
        </w:rPr>
        <w:t xml:space="preserve">CAR T cell product candidates, SG293 and SG227. </w:t>
      </w:r>
      <w:r>
        <w:rPr>
          <w:rFonts w:ascii="Times New Roman" w:hAnsi="Times New Roman"/>
          <w:i/>
          <w:color w:val="000000"/>
          <w:sz w:val="20"/>
        </w:rPr>
        <w:t>In vivo</w:t>
      </w:r>
      <w:r>
        <w:rPr>
          <w:color w:val="000000"/>
        </w:rPr>
        <w:t xml:space="preserve"> </w:t>
      </w:r>
      <w:r>
        <w:rPr>
          <w:rFonts w:ascii="Times New Roman" w:hAnsi="Times New Roman"/>
          <w:color w:val="000000"/>
          <w:sz w:val="20"/>
        </w:rPr>
        <w:t xml:space="preserve">CAR T cells have the potential to provide the clinical benefit of autologous, </w:t>
      </w:r>
      <w:r>
        <w:rPr>
          <w:rFonts w:ascii="Times New Roman" w:hAnsi="Times New Roman"/>
          <w:i/>
          <w:color w:val="000000"/>
          <w:sz w:val="20"/>
        </w:rPr>
        <w:t>ex vivo</w:t>
      </w:r>
      <w:r>
        <w:rPr>
          <w:color w:val="000000"/>
        </w:rPr>
        <w:t xml:space="preserve"> </w:t>
      </w:r>
      <w:r>
        <w:rPr>
          <w:rFonts w:ascii="Times New Roman" w:hAnsi="Times New Roman"/>
          <w:color w:val="000000"/>
          <w:sz w:val="20"/>
        </w:rPr>
        <w:t>manufactured CAR T cells while avoiding the need for lymphodepleting chemotherapy as well as significant complexity and bottlenecks related to manufacturing.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SG293 is a CD8-targeted fusosome that delivers genetic material to CD8+ T cells, which enables these cells to become CD19-targeting CAR T cells while avoiding potentially problematic delivery to tissues such as the liver and gonads. We plan to develop SG293 in a range of B cell cancers and B cell mediated autoimmune diseases and expect to generate initial clinical data as early as this year.</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SG227 is a CD8-targeted fusosome that delivers the genetic material to make BCMA-directed CAR T cells. SG227 delivers a BCMA CAR that has been validated in the autologous CAR T setting for patients with multiple myeloma in a product that is currently approved in China. We plan to develop SG227 as a potential treatment for patients with multiple myeloma and are preparing to begin clinical testing as early as mid-2027, contingent upon the early clinical profile of SG293.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November 2025, in order to prioritize our resources and pursue promising data in the SC451 and fusogen programs, we announced our prioritization of further development of our SC451 and SG293 programs, and suspended development of our two allogeneic cell therapy CAR T programs – SC291 in B-cell mediated autoimmune diseases and SC262 in oncology. As part of these efforts, we are winding down the GLEAM Phase 1 clinical trial evaluating SC291 in B-cell mediated autoimmune diseases and the VIVID Phase 1 clinical trial evaluating SC262 in oncology.</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We believe the time is right to develop engineered cell therapies in various therapeutic areas. Substantial progress in the understanding of genetics, gene editing, protein engineering, stem cell biology, immunology, process analytics, and computational biology have converged to create an opportunity to markedly increase the breadth and depth of the potential impact of cellular medicines. We continue to make progress developing our </w:t>
      </w:r>
      <w:r>
        <w:rPr>
          <w:rFonts w:ascii="Times New Roman" w:hAnsi="Times New Roman"/>
          <w:i/>
          <w:color w:val="000000"/>
          <w:sz w:val="20"/>
        </w:rPr>
        <w:t xml:space="preserve">ex vivo </w:t>
      </w:r>
      <w:r>
        <w:rPr>
          <w:rFonts w:ascii="Times New Roman" w:hAnsi="Times New Roman"/>
          <w:color w:val="000000"/>
          <w:sz w:val="20"/>
        </w:rPr>
        <w:t xml:space="preserve">cell engineering platform that leverages our HIP technology and our </w:t>
      </w:r>
      <w:r>
        <w:rPr>
          <w:rFonts w:ascii="Times New Roman" w:hAnsi="Times New Roman"/>
          <w:i/>
          <w:color w:val="000000"/>
          <w:sz w:val="20"/>
        </w:rPr>
        <w:t xml:space="preserve">in vivo </w:t>
      </w:r>
      <w:r>
        <w:rPr>
          <w:rFonts w:ascii="Times New Roman" w:hAnsi="Times New Roman"/>
          <w:color w:val="000000"/>
          <w:sz w:val="20"/>
        </w:rPr>
        <w:t xml:space="preserve">cell engineering platform that leverages our fusogen technology. Each of our programs provides the potential for meaningful standalone value while also supporting our potential ability to further exploit our platforms in a manner that leads to the development of broadly applicable medicines.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With respect to our </w:t>
      </w:r>
      <w:r>
        <w:rPr>
          <w:rFonts w:ascii="Times New Roman" w:hAnsi="Times New Roman"/>
          <w:i/>
          <w:color w:val="000000"/>
          <w:sz w:val="20"/>
        </w:rPr>
        <w:t>ex vivo</w:t>
      </w:r>
      <w:r>
        <w:rPr>
          <w:rFonts w:ascii="Times New Roman" w:hAnsi="Times New Roman"/>
          <w:color w:val="000000"/>
          <w:sz w:val="20"/>
        </w:rPr>
        <w:t xml:space="preserve"> cell engineering efforts, in March 2026, we announced positive 14-month results from the UP421 IST. The study showed no drug product-related adverse events, and there was evidence of graft survival and function with detectable C-peptide production through 14 months following transplantation. C-peptide levels increased, as expected, during a mixed meal tolerance test, showing appropriate function of the transplanted islet cells. Immunological analysis revealed comprehensive immune evasion of HIP-modified pancreatic islet cells. In August 2025, </w:t>
      </w:r>
      <w:r>
        <w:rPr>
          <w:rFonts w:ascii="Times New Roman" w:hAnsi="Times New Roman"/>
          <w:i/>
          <w:color w:val="000000"/>
          <w:sz w:val="20"/>
        </w:rPr>
        <w:t>The New England Journal of Medicine</w:t>
      </w:r>
      <w:r>
        <w:rPr>
          <w:rFonts w:ascii="Times New Roman" w:hAnsi="Times New Roman"/>
          <w:color w:val="000000"/>
          <w:sz w:val="20"/>
        </w:rPr>
        <w:t xml:space="preserve"> published a journal article titled "Survival of Transplanted Allogeneic Beta Cells with No Immunosuppression," which discusses the 12-week results of the trial. We continue preclinical development of SC451, which is currently completing nonclinical testing, manufacturing transfer, and clinical trial preparation.</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With respect to our </w:t>
      </w:r>
      <w:r>
        <w:rPr>
          <w:rFonts w:ascii="Times New Roman" w:hAnsi="Times New Roman"/>
          <w:i/>
          <w:color w:val="000000"/>
          <w:sz w:val="20"/>
        </w:rPr>
        <w:t>in vivo</w:t>
      </w:r>
      <w:r>
        <w:rPr>
          <w:rFonts w:ascii="Times New Roman" w:hAnsi="Times New Roman"/>
          <w:color w:val="000000"/>
          <w:sz w:val="20"/>
        </w:rPr>
        <w:t xml:space="preserve"> cell engineering research efforts, in January 2026, we shared data from a preclinical study using a surrogate for SG293 that delivers a CD20 CAR capable of targeting non-human primate (NHP) B cells in </w:t>
      </w:r>
      <w:r>
        <w:rPr>
          <w:rFonts w:ascii="Times New Roman" w:hAnsi="Times New Roman"/>
          <w:i/>
          <w:color w:val="000000"/>
          <w:sz w:val="20"/>
        </w:rPr>
        <w:t>cynomolgus</w:t>
      </w:r>
      <w:r>
        <w:rPr>
          <w:rFonts w:ascii="Times New Roman" w:hAnsi="Times New Roman"/>
          <w:color w:val="000000"/>
          <w:sz w:val="20"/>
        </w:rPr>
        <w:t xml:space="preserve"> macaques in the absence of lymphodepletion. A single intravenous injection of the SG293 surrogate to these NHPs resulted in robust </w:t>
      </w:r>
      <w:r>
        <w:rPr>
          <w:rFonts w:ascii="Times New Roman" w:hAnsi="Times New Roman"/>
          <w:i/>
          <w:color w:val="000000"/>
          <w:sz w:val="20"/>
        </w:rPr>
        <w:t>in vivo</w:t>
      </w:r>
      <w:r>
        <w:rPr>
          <w:rFonts w:ascii="Times New Roman" w:hAnsi="Times New Roman"/>
          <w:color w:val="000000"/>
          <w:sz w:val="20"/>
        </w:rPr>
        <w:t xml:space="preserve"> generation of CAR T cells and deep B cell depletion in the peripheral blood and lymph nodes. The B cell depletion was further confirmed by lymph node biopsies showing clearance of B cells as well as by “reset” of the NHPs’ B cell repertoire toward naïve B cells. We believe that deep B cell depletion in this preclinical model is the most significant biomarker for potential efficacy in patients with B cell cancers and B cell mediated autoimmune diseases. Separately, </w:t>
      </w:r>
      <w:r>
        <w:rPr>
          <w:rFonts w:ascii="Times New Roman" w:hAnsi="Times New Roman"/>
          <w:i/>
          <w:color w:val="000000"/>
          <w:sz w:val="20"/>
        </w:rPr>
        <w:t>in vitro</w:t>
      </w:r>
      <w:r>
        <w:rPr>
          <w:rFonts w:ascii="Times New Roman" w:hAnsi="Times New Roman"/>
          <w:color w:val="000000"/>
          <w:sz w:val="20"/>
        </w:rPr>
        <w:t xml:space="preserve"> studies using SG293 have shown selective gene delivery to CD8+ T cells with no detectable off-target transduction in tissues such as the liver and gonadal tissue, supporting the specificity of SG293. We are currently conducting nonclinical testing, manufacturing transfer to a contract manufacturer, and clinical trial preparation for SG293.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continue to make progress on advancing our product candidates into and through preclinical development and toward potential IND submissions. As our product candidates advance toward potential IND submissions, we are conducting good laboratory practices toxicology studies and establishing necessary scale-up for our manufacturing processes.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expect to continue to assess and prioritize our programs on an ongoing basis based on various factors, including internal and external opportunities and constraints, which may result in our decision to advance certain programs ahead or instead of others or suspend, discontinue, or divest certain programs that represent our current development focus. For details regarding our product candidates, see the section titled “Business—Overview” in Part I, Item 1 included in our 2025 Annual Report.</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Our </w:t>
      </w:r>
      <w:r>
        <w:rPr>
          <w:rFonts w:ascii="Times New Roman" w:hAnsi="Times New Roman"/>
          <w:i/>
          <w:color w:val="000000"/>
          <w:sz w:val="20"/>
        </w:rPr>
        <w:t>ex vivo</w:t>
      </w:r>
      <w:r>
        <w:rPr>
          <w:rFonts w:ascii="Times New Roman" w:hAnsi="Times New Roman"/>
          <w:color w:val="000000"/>
          <w:sz w:val="20"/>
        </w:rPr>
        <w:t xml:space="preserve"> and </w:t>
      </w:r>
      <w:r>
        <w:rPr>
          <w:rFonts w:ascii="Times New Roman" w:hAnsi="Times New Roman"/>
          <w:i/>
          <w:color w:val="000000"/>
          <w:sz w:val="20"/>
        </w:rPr>
        <w:t>in vivo</w:t>
      </w:r>
      <w:r>
        <w:rPr>
          <w:rFonts w:ascii="Times New Roman" w:hAnsi="Times New Roman"/>
          <w:color w:val="000000"/>
          <w:sz w:val="20"/>
        </w:rPr>
        <w:t xml:space="preserve"> technologies represent an aggregation of years of innovation and technology from multiple academic institutions and companies, including hypoimmune technology licensed from the President and Fellows of Harvard College (Harvard) and The Regents of the University of California, fusogen technology acquired from Cobalt Biomedicine, Inc. (Cobalt), and gene editing technology licensed from Beam Therapeutics Inc. (Beam), among others. For details regarding these acquisitions and license and collaboration agreements, see Note 4, Acquisitions and Note 5, License and collaboration agreements to our condensed consolidated financial statements included elsewhere in this Quarterly Report, as well as the section titled “Business— Key Intellectual Property Agreements” in Part I, Item 1 included in our 2025 Annual Report.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Our operations to date have included developing our </w:t>
      </w:r>
      <w:r>
        <w:rPr>
          <w:rFonts w:ascii="Times New Roman" w:hAnsi="Times New Roman"/>
          <w:i/>
          <w:color w:val="000000"/>
          <w:sz w:val="20"/>
        </w:rPr>
        <w:t>ex vivo</w:t>
      </w:r>
      <w:r>
        <w:rPr>
          <w:rFonts w:ascii="Times New Roman" w:hAnsi="Times New Roman"/>
          <w:color w:val="000000"/>
          <w:sz w:val="20"/>
        </w:rPr>
        <w:t xml:space="preserve"> and </w:t>
      </w:r>
      <w:r>
        <w:rPr>
          <w:rFonts w:ascii="Times New Roman" w:hAnsi="Times New Roman"/>
          <w:i/>
          <w:color w:val="000000"/>
          <w:sz w:val="20"/>
        </w:rPr>
        <w:t>in vivo</w:t>
      </w:r>
      <w:r>
        <w:rPr>
          <w:rFonts w:ascii="Times New Roman" w:hAnsi="Times New Roman"/>
          <w:color w:val="000000"/>
          <w:sz w:val="20"/>
        </w:rPr>
        <w:t xml:space="preserve"> cell engineering platforms, identifying and developing potential product candidates, executing preclinical studies, establishing manufacturing capabilities, conducting clinical trials of our product candidates, supporting clinical trials of product candidates developed using our technologies, acquiring technologies, staffing the company, business planning, establishing and maintaining our intellectual property portfolio, raising capital, and providing general and administrative support for these operations. All of our programs are currently in the development stage, and we do not have any products approved for sale. We have incurred net losses each year since our inception. Our net losses for the three months ended March 31, 2026 and 2025 were $47.2 million and $49.4 million, respectively. As of March 31, 2026, we had an accumulated deficit of $1.9 billion. Our net losses resulted primarily from our research and development programs, and, to a lesser extent, general and administrative costs associated with our operations.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March 2026, we entered into an amended and restated sales agreement (the Sales Agreement) with TD Securities (USA) LLC (TD Cowen), acting as sales agent, pursuant to which we may offer and sell through TD Cowen shares of our common stock from time to time in a series of one or more at the market equity offerings, and filed a prospectus supplement with the SEC pursuant to which we may offer and sell up to $150.0 million of shares of our common stock pursuant to the Sales Agreement (collectively, the ATM facility). The Sales Agreement amends and restates our prior sales agreement with TD Cowen entered into in May 2025 (the Prior Sales Agreement). During the quarter ended March 31, 2026, we did not sell any shares of our common stock under the Prior Sales Agreement or the Sales Agreement.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August 2025, we completed an underwritten public offering (the Offering) pursuant to which we sold 24.3 million shares of our common stock, including 3.4 million shares pursuant to the full exercise of the underwriters' option to purchase additional shares, and pre-funded warrants to purchase 1.5 million shares of our common stock for net proceeds of approximately $80.6 million, after deducting underwriting discounts and commissions and offering expenses.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March 31, 2026, we had cash, cash equivalents, and marketable securities of $101.1 million. We will need to raise additional financing within the next 12 months and in the future to fund our operations, including conducting clinical trials and the commercialization of any approved product candidates. Until such time, if ever, as we can generate substantial product revenue, we expect to finance our operations with our existing cash, cash equivalents, and marketable securities, proceeds from any future equity or debt financings, and milestone, royalty, and other payments received under any future licenses, collaborations, or other arrangements. Additional capital may not be available on terms that are reasonable or acceptable to us, if at all. If we are unable to raise capital when needed or on attractive terms, our business, results of operations, and financial condition would be adversely affected.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Management has determined that our present capital resources may not be sufficient to fund our planned operations for at least one year from the date of this Quarterly Report, and there is substantial doubt as to our ability to continue as a going concern. Our ability to continue as a going concern will depend on, among other things, our ability to obtain additional funding and appropriately manage the amount of cash used to fund our operations. We plan to address this condition through equity or debt offerings or capital obtained in connection with strategic collaborations or licensing or other arrangements. If we are unable to obtain such financing, we may be required to pursue alternative sources of capital which may not be available to us on favorable terms, if at all, or significantly modify our operational plans by delaying, reducing the scope of, or ceasing some or all of our research and development programs, or pursue strategic alternatives.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Although our historical portfolio prioritizations have enabled reduced operating expenses, our operating expenses may increase over the longer term if our future clinical trials are successful and if we expand our research and development efforts. Cost increases would be driven in large part by commencing and advancing our current and future product candidates through clinical trials; identifying additional product candidates; continuing to establish our manufacturing capabilities, including through third-party contract development and manufacturing organizations (CDMOs); initiating and advancing preclinical development of our current and future product candidates; advancing and expanding the capabilities of our </w:t>
      </w:r>
      <w:r>
        <w:rPr>
          <w:rFonts w:ascii="Times New Roman" w:hAnsi="Times New Roman"/>
          <w:i/>
          <w:color w:val="000000"/>
          <w:sz w:val="20"/>
        </w:rPr>
        <w:t>ex vivo</w:t>
      </w:r>
      <w:r>
        <w:rPr>
          <w:rFonts w:ascii="Times New Roman" w:hAnsi="Times New Roman"/>
          <w:color w:val="000000"/>
          <w:sz w:val="20"/>
        </w:rPr>
        <w:t xml:space="preserve"> and </w:t>
      </w:r>
      <w:r>
        <w:rPr>
          <w:rFonts w:ascii="Times New Roman" w:hAnsi="Times New Roman"/>
          <w:i/>
          <w:color w:val="000000"/>
          <w:sz w:val="20"/>
        </w:rPr>
        <w:t>in vivo</w:t>
      </w:r>
      <w:r>
        <w:rPr>
          <w:rFonts w:ascii="Times New Roman" w:hAnsi="Times New Roman"/>
          <w:color w:val="000000"/>
          <w:sz w:val="20"/>
        </w:rPr>
        <w:t xml:space="preserve"> cell engineering platforms; acquiring and licensing technologies aligned with our </w:t>
      </w:r>
      <w:r>
        <w:rPr>
          <w:rFonts w:ascii="Times New Roman" w:hAnsi="Times New Roman"/>
          <w:i/>
          <w:color w:val="000000"/>
          <w:sz w:val="20"/>
        </w:rPr>
        <w:t>ex vivo</w:t>
      </w:r>
      <w:r>
        <w:rPr>
          <w:rFonts w:ascii="Times New Roman" w:hAnsi="Times New Roman"/>
          <w:color w:val="000000"/>
          <w:sz w:val="20"/>
        </w:rPr>
        <w:t xml:space="preserve"> and </w:t>
      </w:r>
      <w:r>
        <w:rPr>
          <w:rFonts w:ascii="Times New Roman" w:hAnsi="Times New Roman"/>
          <w:i/>
          <w:color w:val="000000"/>
          <w:sz w:val="20"/>
        </w:rPr>
        <w:t>in vivo</w:t>
      </w:r>
      <w:r>
        <w:rPr>
          <w:rFonts w:ascii="Times New Roman" w:hAnsi="Times New Roman"/>
          <w:color w:val="000000"/>
          <w:sz w:val="20"/>
        </w:rPr>
        <w:t xml:space="preserve"> cell engineering platforms, or modifying the terms of existing acquisition or license arrangements; seeking regulatory approval of our current and future product candidates; engaging in commercialization activities for any of our product candidates for which we obtain marketing approval; increasing our personnel, including those required to support our research, clinical and preclinical development, manufacturing, and potential future commercialization efforts; expanding our operational, financial, and management systems; continuing to develop, prosecute, and defend our intellectual property portfolio; and continuing to incur legal, accounting, or other expenses to operate our business, including the costs associated with being a public company.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have invested in building world class capabilities in key areas of manufacturing sciences and operations, including development of our cell engineering platforms, product characterization, and process analytics. Our investments also include scaled research solutions, scaled infrastructure, and novel technologies to improve efficiency, characterization, and scalability of manufacturing.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Macroeconomic and Other Considerations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business and operations may be negatively affected by local and global economic, political, and regulatory developments and conditions, such as changes in trade policies (including sanctions, treaties, tariffs, regulatory requirements, and other limitations on cross-border operations and international trade), changes in inflation and fluctuations in interest rates, instability in the banking and financial services sector, declines in consumer confidence, declines in economic growth, uncertainty in the markets, geo-political and economic instability, changes in regulatory agencies having oversight of our operations, and tensions in ex-U.S. relations. Further, it is possible that government policy changes and related uncertainty could increase market volatility. The extent, severity, and duration of the impact of these events and conditions on our business cannot be predicted and may not be fully reflected in our results of operations until future periods. If economic uncertainty continues or increases, or if the global economy worsens, our business, financial condition, and results of operations may be harmed. For further discussion of the potential impacts of macroeconomic events and conditions on our business, financial condition, and operating results, see the section titled “Risk Factors” included in this Quarterly Report.</w:t>
      </w:r>
    </w:p>
    <w:p>
      <w:pPr>
        <w:pStyle w:val="Heading2"/>
        <w:bidi w:val="0"/>
        <w:spacing w:before="360" w:after="283"/>
        <w:jc w:val="left"/>
        <w:rPr>
          <w:rFonts w:ascii="Times New Roman" w:hAnsi="Times New Roman"/>
          <w:i/>
          <w:color w:val="000000"/>
          <w:sz w:val="20"/>
        </w:rPr>
      </w:pPr>
      <w:r>
        <w:rPr>
          <w:rFonts w:ascii="Times New Roman" w:hAnsi="Times New Roman"/>
          <w:i/>
          <w:color w:val="000000"/>
          <w:sz w:val="20"/>
        </w:rPr>
        <w:t>Acquisitions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completed various acquisitions since inception. For details regarding acquisitions involving technologies that we are currently developing, see the section titled “Business—Key Intellectual Property Agreements” included in our 2025 Annual Report, and Note 4, Acquisitions to our condensed consolidated financial statements included elsewhere in this Quarterly Report. </w:t>
      </w:r>
    </w:p>
    <w:p>
      <w:pPr>
        <w:pStyle w:val="Heading2"/>
        <w:bidi w:val="0"/>
        <w:spacing w:before="360" w:after="283"/>
        <w:jc w:val="left"/>
        <w:rPr>
          <w:rFonts w:ascii="Times New Roman" w:hAnsi="Times New Roman"/>
          <w:sz w:val="20"/>
        </w:rPr>
      </w:pPr>
      <w:r>
        <w:rPr>
          <w:rFonts w:ascii="Times New Roman" w:hAnsi="Times New Roman"/>
          <w:i/>
          <w:color w:val="000000"/>
          <w:sz w:val="20"/>
        </w:rPr>
        <w:t>License and collaboration agreements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entered into license and collaboration agreements with various third parties. For details regarding these agreements, see the section titled “Business— Key Intellectual Property Agreements” included in our 2025 Annual Report, and Note 5, License and collaboration agreements to our condensed consolidated financial statements included elsewhere in this Quarterly Report. </w:t>
      </w:r>
    </w:p>
    <w:p>
      <w:pPr>
        <w:pStyle w:val="Heading2"/>
        <w:bidi w:val="0"/>
        <w:spacing w:before="360" w:after="283"/>
        <w:jc w:val="left"/>
        <w:rPr>
          <w:rFonts w:ascii="Times New Roman" w:hAnsi="Times New Roman"/>
          <w:i/>
          <w:color w:val="000000"/>
          <w:sz w:val="20"/>
        </w:rPr>
      </w:pPr>
      <w:r>
        <w:rPr>
          <w:rFonts w:ascii="Times New Roman" w:hAnsi="Times New Roman"/>
          <w:i/>
          <w:color w:val="000000"/>
          <w:sz w:val="20"/>
        </w:rPr>
        <w:t>Success payments and contingent consideration</w:t>
      </w:r>
    </w:p>
    <w:p>
      <w:pPr>
        <w:pStyle w:val="Heading2"/>
        <w:bidi w:val="0"/>
        <w:spacing w:before="120" w:after="283"/>
        <w:jc w:val="left"/>
        <w:rPr>
          <w:rFonts w:ascii="Times New Roman" w:hAnsi="Times New Roman"/>
          <w:b w:val="false"/>
          <w:i/>
          <w:color w:val="000000"/>
          <w:sz w:val="20"/>
        </w:rPr>
      </w:pPr>
      <w:r>
        <w:rPr>
          <w:rFonts w:ascii="Times New Roman" w:hAnsi="Times New Roman"/>
          <w:b w:val="false"/>
          <w:i/>
          <w:color w:val="000000"/>
          <w:sz w:val="20"/>
        </w:rPr>
        <w:t>Cobalt success payment and contingent consideration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Pursuant to the terms and conditions of the Cobalt acquisition agreement, we are obligated to pay to certain former Cobalt stockholders contingent consideration (Cobalt Contingent Consideration) of up to an aggregate of $500.0 million upon our achievement of certain specified development milestones and a success payment (Cobalt Success Payment) of up to $500.0 million, each of which is payable in cash or stock. The Cobalt Success Payment is payable if, at pre-determined valuation measurement dates, our market capitalization equals or exceeds $8.1 billion, and we are advancing a program based on the fusogen technology in a clinical trial pursuant to an IND, or have filed for, or received approval for, a biologics license application or new drug application for a product based on the fusogen technology. The Cobalt Success Payment can be achieved over a maximum of 20 years from the date of the acquisition, but this period could be shorter upon the occurrence of certain events. A valuation measurement date would also be triggered upon a change of control if at least one of our programs based on the fusogen technology is the subject of an active research program at the time of such change of control. If there is a change of control and our market capitalization is below $8.1 billion as of the date of such change of control, the amount of the potential Cobalt Success Payment will decrease, and the amount of potential Cobalt Contingent Consideration will increase. As of March 31, 2026, a Cobalt Success Payment had not been triggered.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See Note 4, Acquisitions to our condensed consolidated financial statements included elsewhere in this Quarterly Report for details on the amount of the potential Cobalt Success Payment and potential Cobalt Contingent Consideration if there is a change of control based on various thresholds for our market capitalization on such change of control date. See Part II, Item 7. Management’s Discussion and Analysis of Financial Condition and Results of Operations “—Critical accounting policies and significant judgments and estimates—Success payments” and “—Critical accounting policies and significant judgments and estimates—Contingent consideration” included in our 2025 Annual Report for more information on the accounting treatment of the Cobalt Success Payment and Cobalt Contingent Consideration.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360" w:after="283"/>
        <w:jc w:val="left"/>
        <w:rPr>
          <w:rFonts w:ascii="Times New Roman" w:hAnsi="Times New Roman"/>
          <w:b w:val="false"/>
          <w:i/>
          <w:color w:val="000000"/>
          <w:sz w:val="20"/>
        </w:rPr>
      </w:pPr>
      <w:r>
        <w:rPr>
          <w:rFonts w:ascii="Times New Roman" w:hAnsi="Times New Roman"/>
          <w:b w:val="false"/>
          <w:i/>
          <w:color w:val="000000"/>
          <w:sz w:val="20"/>
        </w:rPr>
        <w:t>Harvard success payments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Pursuant to the terms of the Harvard agreement, we may be required to make up to an aggregate of $175.0 million in success payments to Harvard (Harvard Success Payments), payable in cash, based on increases in the per share fair market value of our common stock. The potential Harvard Success Payments are based on multiples of increasing value ranging from 5x to 40x based on a comparison of the per share fair market value of our common stock relative to the original issuance price of $4.00 per share at ongoing pre-determined valuation measurement dates. The Harvard Success Payments can be achieved over a maximum of 12 years from the effective date of the agreement. If a higher success payment tier is met at the same time a lower tier is met, both tiers will be owed. Any previous Harvard Success Payments made are credited against the Harvard Success Payment owed as of any valuation measurement date so that Harvard does not receive multiple success payments in connection with the same threshold. As of March 31, 2026, a Harvard Success Payment had not been triggered.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See Note 5, License and collaboration agreements to our condensed consolidated financial statements included elsewhere in this Quarterly Report for details on the various per share common stock values that trigger a Harvard Success Payment. See Part II, Item 7. Management’s Discussion and Analysis of Financial Condition and Results of Operations “—Critical accounting policies and significant judgments and estimates—Success payments” included in our 2025 Annual Report for more information on the accounting treatment of the Harvard Success Payments.</w:t>
      </w:r>
    </w:p>
    <w:p>
      <w:pPr>
        <w:pStyle w:val="Heading1"/>
        <w:bidi w:val="0"/>
        <w:spacing w:before="360" w:after="283"/>
        <w:jc w:val="left"/>
        <w:rPr>
          <w:rFonts w:ascii="Times New Roman" w:hAnsi="Times New Roman"/>
          <w:color w:val="000000"/>
          <w:sz w:val="20"/>
        </w:rPr>
      </w:pPr>
      <w:r>
        <w:rPr>
          <w:rFonts w:ascii="Times New Roman" w:hAnsi="Times New Roman"/>
          <w:color w:val="000000"/>
          <w:sz w:val="20"/>
        </w:rPr>
        <w:t xml:space="preserve">Components of operating results </w:t>
      </w:r>
    </w:p>
    <w:p>
      <w:pPr>
        <w:pStyle w:val="Heading2"/>
        <w:bidi w:val="0"/>
        <w:spacing w:before="120" w:after="283"/>
        <w:jc w:val="left"/>
        <w:rPr>
          <w:rFonts w:ascii="Times New Roman" w:hAnsi="Times New Roman"/>
          <w:sz w:val="20"/>
        </w:rPr>
      </w:pPr>
      <w:r>
        <w:rPr>
          <w:rFonts w:ascii="Times New Roman" w:hAnsi="Times New Roman"/>
          <w:i/>
          <w:color w:val="000000"/>
          <w:sz w:val="20"/>
        </w:rPr>
        <w:t>Operating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Research and development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date, research and development expenses have been related primarily to the discovery and development of our platform technologies and product candidates. Research and development expenses are recognized as incurred, and payments made prior to the receipt of goods or services to be used in research and development are recorded as prepaid expenses, until the goods or services are received.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Research and development expenses consist of personnel-related costs, including salaries, benefits, and non-cash stock-based compensation, external research and development expenses incurred under arrangements with third parties, including CDMO manufacturing costs (including pass-through costs) and clinical trial costs, costs for laboratory supplies, costs to acquire and license technologies aligned with our </w:t>
      </w:r>
      <w:r>
        <w:rPr>
          <w:rFonts w:ascii="Times New Roman" w:hAnsi="Times New Roman"/>
          <w:i/>
          <w:color w:val="000000"/>
          <w:sz w:val="20"/>
        </w:rPr>
        <w:t>ex vivo</w:t>
      </w:r>
      <w:r>
        <w:rPr>
          <w:rFonts w:ascii="Times New Roman" w:hAnsi="Times New Roman"/>
          <w:color w:val="000000"/>
          <w:sz w:val="20"/>
        </w:rPr>
        <w:t xml:space="preserve"> and </w:t>
      </w:r>
      <w:r>
        <w:rPr>
          <w:rFonts w:ascii="Times New Roman" w:hAnsi="Times New Roman"/>
          <w:i/>
          <w:color w:val="000000"/>
          <w:sz w:val="20"/>
        </w:rPr>
        <w:t>in vivo</w:t>
      </w:r>
      <w:r>
        <w:rPr>
          <w:rFonts w:ascii="Times New Roman" w:hAnsi="Times New Roman"/>
          <w:color w:val="000000"/>
          <w:sz w:val="20"/>
        </w:rPr>
        <w:t xml:space="preserve"> cell engineering platforms, and facility expenses, including rent and depreciation, and allocated overhead costs. The timing and amount of costs to acquire and license technologies in the future cannot be reliably estimated and may fluctuate from quarter to quarter and year to year.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We deploy our employee and infrastructure resources across multiple research and development programs for developing our </w:t>
      </w:r>
      <w:r>
        <w:rPr>
          <w:rFonts w:ascii="Times New Roman" w:hAnsi="Times New Roman"/>
          <w:i/>
          <w:color w:val="000000"/>
          <w:sz w:val="20"/>
        </w:rPr>
        <w:t>ex vivo</w:t>
      </w:r>
      <w:r>
        <w:rPr>
          <w:rFonts w:ascii="Times New Roman" w:hAnsi="Times New Roman"/>
          <w:color w:val="000000"/>
          <w:sz w:val="20"/>
        </w:rPr>
        <w:t xml:space="preserve"> and </w:t>
      </w:r>
      <w:r>
        <w:rPr>
          <w:rFonts w:ascii="Times New Roman" w:hAnsi="Times New Roman"/>
          <w:i/>
          <w:color w:val="000000"/>
          <w:sz w:val="20"/>
        </w:rPr>
        <w:t>in vivo</w:t>
      </w:r>
      <w:r>
        <w:rPr>
          <w:rFonts w:ascii="Times New Roman" w:hAnsi="Times New Roman"/>
          <w:color w:val="000000"/>
          <w:sz w:val="20"/>
        </w:rPr>
        <w:t xml:space="preserve"> cell engineering platforms, identifying and developing product candidates, and establishing manufacturing capabilities. Due to our early stage of development, the number of ongoing projects, and our ability to use resources across several projects, most of our research and development costs are not recorded on a program-specific basis. These include costs for personnel, laboratory, and other indirect facility and operating costs.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Research and development activities account for a significant portion of our operating expenses. Excluding any one-time items, we expect our research and development expenses to be materially flat or slightly lower in 2026 compared to 2025. Research and development expenses may increase over the longer term due to a variety of factors, including if our future clinical trials are successful and if we expand our research and development efforts. Cost increases, if they occur, would be driven in large part by advancing our current and future product candidates into and through clinical trials; identifying additional product candidates; continuing to establish our manufacturing capabilities, including through CDMOs, initiating and advancing preclinical development of our current and future product candidates; advancing and expanding the capabilities of our </w:t>
      </w:r>
      <w:r>
        <w:rPr>
          <w:rFonts w:ascii="Times New Roman" w:hAnsi="Times New Roman"/>
          <w:i/>
          <w:color w:val="000000"/>
          <w:sz w:val="20"/>
        </w:rPr>
        <w:t>ex vivo</w:t>
      </w:r>
      <w:r>
        <w:rPr>
          <w:rFonts w:ascii="Times New Roman" w:hAnsi="Times New Roman"/>
          <w:color w:val="000000"/>
          <w:sz w:val="20"/>
        </w:rPr>
        <w:t xml:space="preserve"> and </w:t>
      </w:r>
      <w:r>
        <w:rPr>
          <w:rFonts w:ascii="Times New Roman" w:hAnsi="Times New Roman"/>
          <w:i/>
          <w:color w:val="000000"/>
          <w:sz w:val="20"/>
        </w:rPr>
        <w:t>in vivo</w:t>
      </w:r>
      <w:r>
        <w:rPr>
          <w:rFonts w:ascii="Times New Roman" w:hAnsi="Times New Roman"/>
          <w:color w:val="000000"/>
          <w:sz w:val="20"/>
        </w:rPr>
        <w:t xml:space="preserve"> cell engineering platforms; acquiring and licensing technologies aligned with our </w:t>
      </w:r>
      <w:r>
        <w:rPr>
          <w:rFonts w:ascii="Times New Roman" w:hAnsi="Times New Roman"/>
          <w:i/>
          <w:color w:val="000000"/>
          <w:sz w:val="20"/>
        </w:rPr>
        <w:t>ex vivo</w:t>
      </w:r>
      <w:r>
        <w:rPr>
          <w:rFonts w:ascii="Times New Roman" w:hAnsi="Times New Roman"/>
          <w:color w:val="000000"/>
          <w:sz w:val="20"/>
        </w:rPr>
        <w:t xml:space="preserve"> and </w:t>
      </w:r>
      <w:r>
        <w:rPr>
          <w:rFonts w:ascii="Times New Roman" w:hAnsi="Times New Roman"/>
          <w:i/>
          <w:color w:val="000000"/>
          <w:sz w:val="20"/>
        </w:rPr>
        <w:t>in vivo</w:t>
      </w:r>
      <w:r>
        <w:rPr>
          <w:rFonts w:ascii="Times New Roman" w:hAnsi="Times New Roman"/>
          <w:color w:val="000000"/>
          <w:sz w:val="20"/>
        </w:rPr>
        <w:t xml:space="preserve"> cell engineering platforms, or modifying the terms of existing acquisition or license arrangements; seeking regulatory approval of our current and future product candidates; and increasing our workforce to support our expanded research, clinical, and preclinical development efforts. A change in the outcome of any of these factors could result in a significant change in the costs and timing associated with the development of our product candidates. In addition, recent and potential future developments in international trade, including tariffs imposed on imports from other countries, could cause unanticipated increases in our research and development costs, primarily through increased CDMO costs and costs of our laboratory and manufacturing supplies, and we may not be able to accurately forecast their impacts on our business.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i/>
          <w:color w:val="000000"/>
          <w:sz w:val="20"/>
        </w:rPr>
        <w:t>Research and development related success payments and contingent consideration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Research and development related success payments and contingent consideration include the change in the estimated fair value of our Cobalt and Harvard Success Payment liabilities and Cobalt Contingent Consideration liability. The expense or gain associated with our research and development related success payments and contingent consideration is unpredictable, in part, because our success payments are impacted by changes in our common stock price and market capitalization at the end of each reporting period, and continues to vary significantly from quarter to quarter and year to year due to changes in the assumptions used in the calculations. </w:t>
      </w:r>
    </w:p>
    <w:p>
      <w:pPr>
        <w:pStyle w:val="TextBody"/>
        <w:bidi w:val="0"/>
        <w:spacing w:before="360" w:after="283"/>
        <w:jc w:val="left"/>
        <w:rPr>
          <w:rFonts w:ascii="Times New Roman" w:hAnsi="Times New Roman"/>
          <w:sz w:val="20"/>
        </w:rPr>
      </w:pPr>
      <w:r>
        <w:rPr>
          <w:rFonts w:ascii="Times New Roman" w:hAnsi="Times New Roman"/>
          <w:i/>
          <w:color w:val="000000"/>
          <w:sz w:val="20"/>
        </w:rPr>
        <w:t>General and administrative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General and administrative expenses consist of personnel-related costs, including salaries, benefits, and non-cash stock-based compensation for our employees in finance, legal, executive, human resources, and information technology functions, legal and consulting fees, insurance fees, and facility costs not otherwise included in research and development expenses. Legal fees include those related to corporate, patent, and litigation matters.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Excluding any one-time items, we expect our general and administrative expenses to be materially flat in 2026 compared to 2025. General and administrative expenses may increase over the longer term to support potential expanded research and development activities.</w:t>
      </w:r>
    </w:p>
    <w:p>
      <w:pPr>
        <w:pStyle w:val="Heading1"/>
        <w:bidi w:val="0"/>
        <w:spacing w:before="360" w:after="283"/>
        <w:jc w:val="left"/>
        <w:rPr>
          <w:rFonts w:ascii="Times New Roman" w:hAnsi="Times New Roman"/>
          <w:color w:val="000000"/>
          <w:sz w:val="20"/>
        </w:rPr>
      </w:pPr>
      <w:r>
        <w:rPr>
          <w:rFonts w:ascii="Times New Roman" w:hAnsi="Times New Roman"/>
          <w:color w:val="000000"/>
          <w:sz w:val="20"/>
        </w:rPr>
        <w:t xml:space="preserve">Results of operations </w:t>
      </w:r>
    </w:p>
    <w:p>
      <w:pPr>
        <w:pStyle w:val="TextBody"/>
        <w:bidi w:val="0"/>
        <w:spacing w:before="120" w:after="283"/>
        <w:jc w:val="left"/>
        <w:rPr>
          <w:rFonts w:ascii="Times New Roman" w:hAnsi="Times New Roman"/>
          <w:sz w:val="20"/>
        </w:rPr>
      </w:pPr>
      <w:r>
        <w:rPr>
          <w:rFonts w:ascii="Times New Roman" w:hAnsi="Times New Roman"/>
          <w:b/>
          <w:i/>
          <w:color w:val="000000"/>
          <w:sz w:val="20"/>
        </w:rPr>
        <w:t>Comparison of the three months ended March 31, 2026 and 2025</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our results of operations for the periods presented: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933"/>
        <w:gridCol w:w="146"/>
        <w:gridCol w:w="225"/>
        <w:gridCol w:w="788"/>
        <w:gridCol w:w="177"/>
        <w:gridCol w:w="155"/>
        <w:gridCol w:w="225"/>
        <w:gridCol w:w="788"/>
        <w:gridCol w:w="166"/>
        <w:gridCol w:w="146"/>
        <w:gridCol w:w="211"/>
        <w:gridCol w:w="631"/>
        <w:gridCol w:w="614"/>
      </w:tblGrid>
      <w:tr>
        <w:trPr/>
        <w:tc>
          <w:tcPr>
            <w:tcW w:w="59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59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2"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9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3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28,719</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(8,470</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93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 related success payments and contingent consideration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8,433</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6,476</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3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11,462</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93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88"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48,614</w:t>
            </w:r>
          </w:p>
        </w:tc>
        <w:tc>
          <w:tcPr>
            <w:tcW w:w="177"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55"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25"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88"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50,630</w:t>
            </w:r>
          </w:p>
        </w:tc>
        <w:tc>
          <w:tcPr>
            <w:tcW w:w="16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63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(2,016</w:t>
            </w:r>
          </w:p>
        </w:tc>
        <w:tc>
          <w:tcPr>
            <w:tcW w:w="614"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9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(48,614</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2,016</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951</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9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9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(47,210</w:t>
            </w:r>
          </w:p>
        </w:tc>
        <w:tc>
          <w:tcPr>
            <w:tcW w:w="1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(49,389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2,179</w:t>
            </w:r>
          </w:p>
        </w:tc>
        <w:tc>
          <w:tcPr>
            <w:tcW w:w="6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Heading2"/>
        <w:bidi w:val="0"/>
        <w:spacing w:before="360" w:after="283"/>
        <w:jc w:val="left"/>
        <w:rPr>
          <w:rFonts w:ascii="Times New Roman" w:hAnsi="Times New Roman"/>
          <w:sz w:val="20"/>
        </w:rPr>
      </w:pPr>
      <w:r>
        <w:rPr>
          <w:rFonts w:ascii="Times New Roman" w:hAnsi="Times New Roman"/>
          <w:b w:val="false"/>
          <w:i/>
          <w:color w:val="000000"/>
          <w:sz w:val="20"/>
        </w:rPr>
        <w:t>Research and development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the components of our research and development expenses for the periods presented:</w:t>
      </w:r>
    </w:p>
    <w:p>
      <w:pPr>
        <w:pStyle w:val="TextBody"/>
        <w:bidi w:val="0"/>
        <w:spacing w:before="120" w:after="283"/>
        <w:jc w:val="left"/>
        <w:rPr/>
      </w:pPr>
      <w:r>
        <w:rPr/>
        <w:t> </w:t>
      </w:r>
    </w:p>
    <w:tbl>
      <w:tblPr>
        <w:tblW w:w="7310" w:type="dxa"/>
        <w:jc w:val="left"/>
        <w:tblInd w:w="0" w:type="dxa"/>
        <w:tblLayout w:type="fixed"/>
        <w:tblCellMar>
          <w:top w:w="28" w:type="dxa"/>
          <w:left w:w="28" w:type="dxa"/>
          <w:bottom w:w="28" w:type="dxa"/>
          <w:right w:w="28" w:type="dxa"/>
        </w:tblCellMar>
      </w:tblPr>
      <w:tblGrid>
        <w:gridCol w:w="3421"/>
        <w:gridCol w:w="146"/>
        <w:gridCol w:w="245"/>
        <w:gridCol w:w="785"/>
        <w:gridCol w:w="169"/>
        <w:gridCol w:w="169"/>
        <w:gridCol w:w="245"/>
        <w:gridCol w:w="785"/>
        <w:gridCol w:w="146"/>
        <w:gridCol w:w="146"/>
        <w:gridCol w:w="211"/>
        <w:gridCol w:w="631"/>
        <w:gridCol w:w="211"/>
      </w:tblGrid>
      <w:tr>
        <w:trPr/>
        <w:tc>
          <w:tcPr>
            <w:tcW w:w="3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2"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Personnel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12,413</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Third-party manufacturing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722</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Facility and other allocated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10,384</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development, and laboratory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4,018</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1,182</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research and development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28,719</w:t>
            </w:r>
          </w:p>
        </w:tc>
        <w:tc>
          <w:tcPr>
            <w:tcW w:w="1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37,189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(8,470</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Research and development expenses were $28.7 million and $37.2 million for the three months ended March 31, 2026 and 2025, respectively. The decrease of $8.5 million was primarily due to: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decrease of $4.7 million in personnel-related expenses, including non-cash stock-based compensation, due to lower research and development headcount;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decrease of $2.2 million in third-party manufacturing costs at CDMOs primarily related to the suspension of our allogeneic CAR T programs;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decrease of $2.1 million in facility and other allocated costs primarily related to depreciation, allocated personnel, and other costs.</w:t>
      </w:r>
    </w:p>
    <w:p>
      <w:pPr>
        <w:pStyle w:val="TextBody"/>
        <w:bidi w:val="0"/>
        <w:spacing w:before="360" w:after="283"/>
        <w:jc w:val="left"/>
        <w:rPr>
          <w:rFonts w:ascii="Times New Roman" w:hAnsi="Times New Roman"/>
          <w:sz w:val="20"/>
        </w:rPr>
      </w:pPr>
      <w:r>
        <w:rPr>
          <w:rFonts w:ascii="Times New Roman" w:hAnsi="Times New Roman"/>
          <w:i/>
          <w:color w:val="000000"/>
          <w:sz w:val="20"/>
        </w:rPr>
        <w:t>Research and development related success payments and contingent consideration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the expenses (gains) associated with research and development related success payments and contingent consideration for the periods presented: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355"/>
        <w:gridCol w:w="146"/>
        <w:gridCol w:w="248"/>
        <w:gridCol w:w="798"/>
        <w:gridCol w:w="195"/>
        <w:gridCol w:w="171"/>
        <w:gridCol w:w="248"/>
        <w:gridCol w:w="674"/>
        <w:gridCol w:w="166"/>
        <w:gridCol w:w="146"/>
        <w:gridCol w:w="211"/>
        <w:gridCol w:w="631"/>
        <w:gridCol w:w="216"/>
      </w:tblGrid>
      <w:tr>
        <w:trPr/>
        <w:tc>
          <w:tcPr>
            <w:tcW w:w="63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63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3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88"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3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Cobalt success payment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(1,823</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(1,928</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3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Harvard success payments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(489</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3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Contingent consideration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10,745</w:t>
            </w:r>
          </w:p>
        </w:tc>
        <w:tc>
          <w:tcPr>
            <w:tcW w:w="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8,881</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3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research and development related success payments and contingent consideration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8,433</w:t>
            </w:r>
          </w:p>
        </w:tc>
        <w:tc>
          <w:tcPr>
            <w:tcW w:w="1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6,476</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gain related to the change in the estimated fair value of our Cobalt Success Payment was $1.8 million for the three months ended March 31, 2026, compared to an expense of $0.1 million for the same period in 2025. The changes in value were primarily due to changes in our market capitalization during the relevant periods. The gain related to the change in the estimated fair value of our Harvard Success Payments was $0.5 million for the three months ended March 31, 2026, compared to an immaterial gain for the same period in 2025. The changes in value were primarily due to changes in our common stock price during the relevant periods. The expense related to the change in the estimated fair value of our Cobalt Contingent Consideration was $10.7 million for the three months ended March 31, 2026 compared to $1.9 million for the same period in 2025, respectively. The changes in value were due primarily to changes in the timing and probability of the achievement of milestones during the relevant periods.</w:t>
      </w:r>
    </w:p>
    <w:p>
      <w:pPr>
        <w:pStyle w:val="TextBody"/>
        <w:bidi w:val="0"/>
        <w:spacing w:before="360" w:after="283"/>
        <w:jc w:val="left"/>
        <w:rPr>
          <w:rFonts w:ascii="Times New Roman" w:hAnsi="Times New Roman"/>
          <w:sz w:val="20"/>
        </w:rPr>
      </w:pPr>
      <w:r>
        <w:rPr>
          <w:rFonts w:ascii="Times New Roman" w:hAnsi="Times New Roman"/>
          <w:i/>
          <w:color w:val="000000"/>
          <w:sz w:val="20"/>
        </w:rPr>
        <w:t>General and administrative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and administrative expenses were $11.5 million for the three months ended March 31, 2026, unchanged compared to the three months ended March 31, 2025. Legal fees increased $0.2 million offset by decreased personnel-related costs, including stock-based compensation, of $0.2 million compared to the three months ended March 31, 2025.</w:t>
      </w:r>
    </w:p>
    <w:p>
      <w:pPr>
        <w:pStyle w:val="TextBody"/>
        <w:bidi w:val="0"/>
        <w:spacing w:before="360" w:after="283"/>
        <w:jc w:val="left"/>
        <w:rPr>
          <w:rFonts w:ascii="Times New Roman" w:hAnsi="Times New Roman"/>
          <w:sz w:val="20"/>
        </w:rPr>
      </w:pPr>
      <w:r>
        <w:rPr>
          <w:rFonts w:ascii="Times New Roman" w:hAnsi="Times New Roman"/>
          <w:i/>
          <w:color w:val="000000"/>
          <w:sz w:val="20"/>
        </w:rPr>
        <w:t>Interest income, net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Interest income, net, was $1.0 million for the three months ended March 31, 2026, unchanged compared to the three months ended March 31, 2025, and consisted primarily of interest earned on our cash and marketable securities balances. </w:t>
      </w:r>
    </w:p>
    <w:p>
      <w:pPr>
        <w:pStyle w:val="Heading1"/>
        <w:bidi w:val="0"/>
        <w:spacing w:before="360" w:after="283"/>
        <w:jc w:val="left"/>
        <w:rPr>
          <w:rFonts w:ascii="Times New Roman" w:hAnsi="Times New Roman"/>
          <w:color w:val="000000"/>
          <w:sz w:val="20"/>
        </w:rPr>
      </w:pPr>
      <w:r>
        <w:rPr>
          <w:rFonts w:ascii="Times New Roman" w:hAnsi="Times New Roman"/>
          <w:color w:val="000000"/>
          <w:sz w:val="20"/>
        </w:rPr>
        <w:t xml:space="preserve">Liquidity, capital resources, and capital requirements </w:t>
      </w:r>
    </w:p>
    <w:p>
      <w:pPr>
        <w:pStyle w:val="Heading2"/>
        <w:bidi w:val="0"/>
        <w:spacing w:before="120" w:after="283"/>
        <w:jc w:val="left"/>
        <w:rPr>
          <w:rFonts w:ascii="Times New Roman" w:hAnsi="Times New Roman"/>
          <w:sz w:val="20"/>
        </w:rPr>
      </w:pPr>
      <w:r>
        <w:rPr>
          <w:rFonts w:ascii="Times New Roman" w:hAnsi="Times New Roman"/>
          <w:i/>
          <w:color w:val="000000"/>
          <w:sz w:val="20"/>
        </w:rPr>
        <w:t>Sources of liquidity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March 31, 2026, we had $101.1 million in cash, cash equivalents, and marketable securities. Since inception through March 31, 2026, we have raised an aggregate of approximately $1.7 billion in net proceeds from sales of our equity securities.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April 2026, we entered into a stock purchase agreement with Mayo Clinic (Stock Purchase Agreement), pursuant to which we agreed to sell to Mayo Clinic, and Mayo Clinic agreed to purchase, (i) 7,507,507 shares (the Initial Shares) of our common stock at a price of $3.33 per share, for gross proceeds of approximately $25.0 million, and (ii) if elected by Mayo Clinic on or prior to August 31, 2026, an additional 7,507,507 shares (the Additional Shares) of common stock at a price of $3.33 per share, for additional gross proceeds of approximately $25.0 million. The closing of the purchase and sale of the Initial Shares occurred on April 15, 2026. As of the date of this Quarterly Report, Mayo Clinic has not elected to purchase the Additional Shares. Pursuant to the Stock Purchase Agreement, we agreed to use the net proceeds from the sale of the Initial Shares and, if applicable, the Additional Shares, for the development of products upon which an affiliate of Mayo Clinic has the right to receive royalties pursuant to a collaboration and license agreement, dated April 10, 2026, between the Company and such affiliate (the License Agreement), including SC451 and certain genetically modified stem-cell derived islet cell products, as set forth in the License Agreement.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March 2026, we entered into the Sales Agreement with TD Cowen, acting as sales agent, and filed a prospectus supplement with the SEC, pursuant to which we may offer and sell up to $150.0 million of shares of our common stock from time to time under the ATM facility. The Sales Agreement amends and restates the Prior Sales Agreement. During the quarter ended March 31, 2026, we did not sell any shares of our common stock under the Prior Sales Agreement or the Sales Agreement.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August 2025, we completed the Offering pursuant to which we sold 24.3 million shares of our common stock, including 3.4 million shares pursuant to the full exercise of the underwriters' option to purchase additional shares, and pre-funded warrants to purchase 1.5 million shares of our common stock for net proceeds of approximately $80.6 million, after deducting underwriting discounts and commissions and offering expenses.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Since our inception, we have not generated any revenue from product sales or any other sources, and we have incurred significant operating losses. We have not yet commercialized any products, and we do not expect to generate revenue from sales of any product candidates for a number of years, if ever. </w:t>
      </w:r>
    </w:p>
    <w:p>
      <w:pPr>
        <w:pStyle w:val="Heading2"/>
        <w:bidi w:val="0"/>
        <w:spacing w:before="360" w:after="283"/>
        <w:jc w:val="left"/>
        <w:rPr>
          <w:rFonts w:ascii="Times New Roman" w:hAnsi="Times New Roman"/>
          <w:i/>
          <w:color w:val="000000"/>
          <w:sz w:val="20"/>
        </w:rPr>
      </w:pPr>
      <w:r>
        <w:rPr>
          <w:rFonts w:ascii="Times New Roman" w:hAnsi="Times New Roman"/>
          <w:i/>
          <w:color w:val="000000"/>
          <w:sz w:val="20"/>
        </w:rPr>
        <w:t>Future funding requirements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to incur additional losses for the foreseeable future as we conduct our research and development efforts, including conducting preclinical studies and clinical trials, developing new product candidates, continuing to establish our external manufacturing capabilities, and funding our operations generally. We are subject to the risks typically related to the development of new products, and we may encounter unforeseen expenses, difficulties, complications, delays, and other unknown factors that may adversely affect our business.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Management has determined that our present capital resources may not be sufficient to fund our planned operations for at least one year from the date of this Quarterly Report, and there is substantial doubt as to our ability to continue as a going concern. Our ability to continue as a going concern will depend on, among other things, our ability to obtain additional funding and appropriately manage the amount of cash used to fund our operations. We plan to address this condition through equity or debt offerings or capital obtained in connection with strategic collaborations or licensing or other arrangements. If we are unable to obtain such financing, we may be required to pursue alternative sources of capital which may not be available to us on favorable terms, if at all, or significantly modify our operational plans by delaying, reducing the scope of, or ceasing some or all of our research and development programs, or pursue strategic alternatives.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future capital requirements will depend on many factors,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scope, timing, progress, costs, and results of discovery, preclinical development, and clinical trials for our current or future product candidates, including the development of companion diagnostics to such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number and scope of clinical trials required for regulatory approval of our current or future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timing, and outcome of regulatory review of our current or future product candidates and any companion diagnostics to such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 timing, and scope of our manufacturing capabilities and our uses of our existing facilities, as well as costs associated with the manufacturing of clinical and commercial supplies of our current and future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and timing of future commercialization activities, including manufacturing, marketing, sales, and distribution, for any of our product candidates for which we receive marketing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and timing of preparing, filing, and prosecuting patent applications, maintaining and enforcing our intellectual property rights, and defending any intellectual property-related claims, including any claims by third parties that we are infringing upon their intellectual property rights;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maintain existing, and establish new, strategic collaborations, licensing, or other arrangements, and the financial terms of any such agreements, including the timing and amount of any future milestone, royalty, or other payments due under any such agreement;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revenue, if any, received from commercial sales of our product candidates for which we receive marketing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expenses required to attract, hire, and retain skilled personnel; </w:t>
      </w:r>
    </w:p>
    <w:p>
      <w:pPr>
        <w:pStyle w:val="TextBody"/>
        <w:bidi w:val="0"/>
        <w:spacing w:before="120" w:after="120"/>
        <w:jc w:val="left"/>
        <w:rPr>
          <w:color w:val="000000"/>
        </w:rPr>
      </w:pPr>
      <w:r>
        <w:rPr>
          <w:color w:val="000000"/>
        </w:rPr>
        <w: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impact of global supply chain issues and changing rates of inflation on the costs of laboratory consumables, supplies, and equipment required for our ongoing operations;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the costs of operating as a public company;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effectively manage the amount of cash used in our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establish a commercially viable pricing structure and obtain approval for coverage and adequate reimbursement from third-party, including government, payors;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potential interruptions or delays resulting from global geo-political, economic, and other factors beyond our control;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effect of competing technological and market developments;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extent to which we acquire or invest in businesses, products, and technologies.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Until such time, if ever, as we can generate significant revenue from product sales, we expect to finance our operations with our existing cash, cash equivalents, and marketable securities, proceeds from any future equity or debt financings, and milestone, royalty, and other payments received under any future licenses, collaborations, or other arrangements. In the event that additional financing is required, we may not be able to raise it on terms that are acceptable to us or at all. Our ability to raise additional financing may be adversely impacted by potential worsening global economic conditions and the recent disruptions to, and volatility in, the credit and financial markets in the United States and worldwide resulting from public health crises, the conflicts in Ukraine and the Middle East, or other regions, changes in inflation, interest rate uncertainty, disruptions in global trade caused by political tensions and conflicts between countries, and other factors creating market risk. Bank failures have also caused increased concerns about liquidity in the broader financial services industry, and our business, business partners, or industry as a whole may be adversely impacted in ways that we cannot predict at this time. If we raise additional funds through the issuance of equity or convertible debt securities, existing stockholders’ ownership interests will be diluted, and the terms of these securities may include liquidation or other preferences that adversely affect the rights of our stockholders. Debt financing, if available, may result in increased fixed payment obligations, and the existence of securities with rights that may be senior to those of our common stock, and involve agreements that include covenants limiting or restricting our ability to take specific actions, such as incurring additional debt, making capital expenditures, declaring dividends, or acquiring, selling, or licensing intellectual property rights or assets, which could adversely impact our ability to conduct our business. If we raise funds through strategic collaborations or licensing or other arrangements, we may have to relinquish significant rights or grant licenses on terms that are not favorable to us. If we are unable to raise additional capital when desired, our business, results of operations, and financial condition would be adversely affected. </w:t>
      </w:r>
    </w:p>
    <w:p>
      <w:pPr>
        <w:pStyle w:val="Heading2"/>
        <w:bidi w:val="0"/>
        <w:spacing w:before="360" w:after="283"/>
        <w:jc w:val="left"/>
        <w:rPr>
          <w:rFonts w:ascii="Times New Roman" w:hAnsi="Times New Roman"/>
          <w:sz w:val="20"/>
        </w:rPr>
      </w:pPr>
      <w:r>
        <w:rPr>
          <w:rFonts w:ascii="Times New Roman" w:hAnsi="Times New Roman"/>
          <w:i/>
          <w:color w:val="000000"/>
          <w:sz w:val="20"/>
        </w:rPr>
        <w:t>Cash flows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our cash flows for the periods indicated:</w:t>
      </w:r>
    </w:p>
    <w:p>
      <w:pPr>
        <w:pStyle w:val="TextBody"/>
        <w:bidi w:val="0"/>
        <w:jc w:val="left"/>
        <w:rPr/>
      </w:pPr>
      <w:r>
        <w:rPr/>
        <w:t> </w:t>
      </w:r>
    </w:p>
    <w:tbl>
      <w:tblPr>
        <w:tblW w:w="8766" w:type="dxa"/>
        <w:jc w:val="left"/>
        <w:tblInd w:w="0" w:type="dxa"/>
        <w:tblLayout w:type="fixed"/>
        <w:tblCellMar>
          <w:top w:w="28" w:type="dxa"/>
          <w:left w:w="28" w:type="dxa"/>
          <w:bottom w:w="28" w:type="dxa"/>
          <w:right w:w="28" w:type="dxa"/>
        </w:tblCellMar>
      </w:tblPr>
      <w:tblGrid>
        <w:gridCol w:w="5811"/>
        <w:gridCol w:w="146"/>
        <w:gridCol w:w="229"/>
        <w:gridCol w:w="801"/>
        <w:gridCol w:w="180"/>
        <w:gridCol w:w="158"/>
        <w:gridCol w:w="229"/>
        <w:gridCol w:w="801"/>
        <w:gridCol w:w="411"/>
      </w:tblGrid>
      <w:tr>
        <w:trPr/>
        <w:tc>
          <w:tcPr>
            <w:tcW w:w="5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5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8"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(used 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(37,379</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(48,657</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49,437</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16,603</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increase (decrease) in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11,930</w:t>
            </w:r>
          </w:p>
        </w:tc>
        <w:tc>
          <w:tcPr>
            <w:tcW w:w="1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(31,072</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i/>
          <w:color w:val="000000"/>
          <w:sz w:val="20"/>
        </w:rPr>
        <w:t>Operating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three months ended March 31, 2026, net cash used in operating activities was $37.4 million, consisting primarily of net loss of $47.2 million and the change in net operating assets and liabilities of $6.5 million, offset by non-cash adjustments of $16.3 million. The non-cash adjustments of $16.3 million consisted of an expense of $10.7 million for revaluation of our contingent consideration, $5.7 million of non-cash stock-based compensation, and depreciation expense of $2.4 million, partially offset by a gain of $2.3 million for revaluation of our success payment liabilities, and other non-cash adjustments of $0.2 million.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During the three months ended March 31, 2025, net cash used in operating activities was $48.7 million, consisting primarily of net loss of $49.4 million and the change in net operating assets and liabilities of $10.9 million, offset by non-cash adjustments of $11.6 million. The non-cash adjustments of $11.6 million consisted of $7.0 million of non-cash stock-based compensation, depreciation expense of $3.6 million, and expenses of $0.1 million and $1.9 million for the revaluation of our success payment liabilities and contingent consideration, respectively, partially offset by other non-cash adjustments of $1.0 million. </w:t>
      </w:r>
    </w:p>
    <w:p>
      <w:pPr>
        <w:pStyle w:val="TextBody"/>
        <w:bidi w:val="0"/>
        <w:spacing w:before="360" w:after="283"/>
        <w:jc w:val="left"/>
        <w:rPr>
          <w:rFonts w:ascii="Times New Roman" w:hAnsi="Times New Roman"/>
          <w:sz w:val="20"/>
        </w:rPr>
      </w:pPr>
      <w:r>
        <w:rPr>
          <w:rFonts w:ascii="Times New Roman" w:hAnsi="Times New Roman"/>
          <w:i/>
          <w:color w:val="000000"/>
          <w:sz w:val="20"/>
        </w:rPr>
        <w:t>Investing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Cash provided by investing activities was $49.4 million during the three months ended March 31, 2026, and $16.6 million during the three months ended March 31, 2025. For the three months ended March 31, 2026, this consisted primarily of net purchases and maturities of marketable securities of $49.5 million. For the three months ended March 31, 2025, this consisted of net purchases and maturities of marketable securities of $16.5 million and net sales of property and equipment of $0.1 million. </w:t>
      </w:r>
    </w:p>
    <w:p>
      <w:pPr>
        <w:pStyle w:val="TextBody"/>
        <w:bidi w:val="0"/>
        <w:spacing w:before="360" w:after="283"/>
        <w:jc w:val="left"/>
        <w:rPr>
          <w:rFonts w:ascii="Times New Roman" w:hAnsi="Times New Roman"/>
          <w:sz w:val="20"/>
        </w:rPr>
      </w:pPr>
      <w:r>
        <w:rPr>
          <w:rFonts w:ascii="Times New Roman" w:hAnsi="Times New Roman"/>
          <w:i/>
          <w:color w:val="000000"/>
          <w:sz w:val="20"/>
        </w:rPr>
        <w:t>Financing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three months ended March 31, 2026 and 2025, cash used in financing activities was $0.1 million and cash provided by financing activities was $1.0 million, respectively. During the three months ended March 31, 2025, financing activities consisted primarily of net proceeds from issuance of common stock. </w:t>
      </w:r>
    </w:p>
    <w:p>
      <w:pPr>
        <w:pStyle w:val="Heading1"/>
        <w:bidi w:val="0"/>
        <w:spacing w:before="360" w:after="283"/>
        <w:jc w:val="left"/>
        <w:rPr>
          <w:rFonts w:ascii="Times New Roman" w:hAnsi="Times New Roman"/>
          <w:color w:val="000000"/>
          <w:sz w:val="20"/>
        </w:rPr>
      </w:pPr>
      <w:r>
        <w:rPr>
          <w:rFonts w:ascii="Times New Roman" w:hAnsi="Times New Roman"/>
          <w:color w:val="000000"/>
          <w:sz w:val="20"/>
        </w:rPr>
        <w:t xml:space="preserve">Contractual obligations and commitments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our significant contractual obligations and commitments as of March 31, 2026:</w:t>
      </w:r>
    </w:p>
    <w:p>
      <w:pPr>
        <w:pStyle w:val="TextBody"/>
        <w:bidi w:val="0"/>
        <w:jc w:val="left"/>
        <w:rPr/>
      </w:pPr>
      <w:r>
        <w:rPr/>
        <w:t> </w:t>
      </w:r>
    </w:p>
    <w:tbl>
      <w:tblPr>
        <w:tblW w:w="9623" w:type="dxa"/>
        <w:jc w:val="left"/>
        <w:tblInd w:w="0" w:type="dxa"/>
        <w:tblLayout w:type="fixed"/>
        <w:tblCellMar>
          <w:top w:w="28" w:type="dxa"/>
          <w:left w:w="28" w:type="dxa"/>
          <w:bottom w:w="28" w:type="dxa"/>
          <w:right w:w="28" w:type="dxa"/>
        </w:tblCellMar>
      </w:tblPr>
      <w:tblGrid>
        <w:gridCol w:w="2356"/>
        <w:gridCol w:w="146"/>
        <w:gridCol w:w="314"/>
        <w:gridCol w:w="1006"/>
        <w:gridCol w:w="146"/>
        <w:gridCol w:w="146"/>
        <w:gridCol w:w="235"/>
        <w:gridCol w:w="755"/>
        <w:gridCol w:w="146"/>
        <w:gridCol w:w="146"/>
        <w:gridCol w:w="235"/>
        <w:gridCol w:w="755"/>
        <w:gridCol w:w="146"/>
        <w:gridCol w:w="146"/>
        <w:gridCol w:w="349"/>
        <w:gridCol w:w="1121"/>
        <w:gridCol w:w="146"/>
        <w:gridCol w:w="146"/>
        <w:gridCol w:w="211"/>
        <w:gridCol w:w="781"/>
        <w:gridCol w:w="191"/>
      </w:tblGrid>
      <w:tr>
        <w:trPr/>
        <w:tc>
          <w:tcPr>
            <w:tcW w:w="23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30"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Payments Due by Period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Less than 1 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1 to 3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 to 5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More than 5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30" w:type="dxa"/>
            <w:gridSpan w:val="1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obligations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113,772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Other than as disclosed in the table above, the payment obligations under our license, collaboration, and acquisition agreements as of March 31, 2026 are contingent upon future events such as our achievement of specified development, regulatory, and commercial milestones or royalties on net product sales. See the section titled “Business—Key Intellectual Property Agreements” in Part I, Item 1 included in our 2025 Annual Report for more information about these payment obligations.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also obligated to make a success payment to Cobalt of up to $500.0 million, payable in cash or stock, pursuant to the terms and conditions in the Cobalt acquisition agreement, and up to an aggregate of $175.0 million in success payments to Harvard, payable in cash. See Part II, Item 7. Management’s Discussion and Analysis of Financial Condition and Results of Operations “—Critical accounting policies and significant judgments and estimates—Success payments” included in our 2025 Annual Report and Note 4, Acquisitions and Note 5, License and collaboration agreements to our condensed consolidated financial statements included elsewhere in this Quarterly Report for more information on the success payments. As of March 31, 2026 the timing and likelihood of achieving the milestones and success payments and generating future product sales are uncertain, and therefore any related payments are not included in the table above.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also enter into agreements in the normal course of business for sponsored research, preclinical studies, clinical trials, contract manufacturing, and other services and products for operating purposes, which are generally cancelable upon written notice. These obligations and commitments are not included in the table above.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spacing w:before="360" w:after="283"/>
        <w:jc w:val="left"/>
        <w:rPr>
          <w:rFonts w:ascii="Times New Roman" w:hAnsi="Times New Roman"/>
          <w:color w:val="000000"/>
          <w:sz w:val="20"/>
        </w:rPr>
      </w:pPr>
      <w:r>
        <w:rPr>
          <w:rFonts w:ascii="Times New Roman" w:hAnsi="Times New Roman"/>
          <w:color w:val="000000"/>
          <w:sz w:val="20"/>
        </w:rPr>
        <w:t xml:space="preserve">Off-balance sheet arrangements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Since our inception, we have not engaged in any off-balance sheet arrangements as defined under the rules and regulations of the SEC. </w:t>
      </w:r>
    </w:p>
    <w:p>
      <w:pPr>
        <w:pStyle w:val="Heading1"/>
        <w:bidi w:val="0"/>
        <w:spacing w:before="360" w:after="283"/>
        <w:jc w:val="left"/>
        <w:rPr>
          <w:rFonts w:ascii="Times New Roman" w:hAnsi="Times New Roman"/>
          <w:color w:val="000000"/>
          <w:sz w:val="20"/>
        </w:rPr>
      </w:pPr>
      <w:r>
        <w:rPr>
          <w:rFonts w:ascii="Times New Roman" w:hAnsi="Times New Roman"/>
          <w:color w:val="000000"/>
          <w:sz w:val="20"/>
        </w:rPr>
        <w:t xml:space="preserve">JOBS Act accounting election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an “emerging growth company,” as defined in the Jumpstart Our Business Startups Act of 2012 (the JOBS Act). We will remain an emerging growth company until the earliest to occur of (1) December 31, 2026, (2) the last day of the fiscal year in which we have total annual gross revenue of at least $1.235 billion, (3) the last day of the fiscal year in which we are deemed to be a “large accelerated filer” as defined in Rule 12b-2 under the Exchange Act, which would occur if the fair market value of our common stock held by non-affiliates exceeded $700.0 million as of the last business day of the second fiscal quarter of such year, or (4) the date on which we have issued more than $1.0 billion in non-convertible debt securities during the prior three-year period.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so long as we remain an emerging growth company, we are permitted and intend to rely on certain exemptions from various public company reporting requirements, including not being required to have our independent registered public accounting firm provide an attestation report on our internal control over financial reporting pursuant to Section 404 of the Sarbanes-Oxley Act, reduced disclosure obligations regarding executive compensation in our periodic reports and proxy statements, and exemptions from the requirements of holding a nonbinding advisory vote on executive compensation and any golden parachute payments not previously approved.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under the JOBS Act, emerging growth companies can delay adopting new or revised accounting standards issued after the enactment of the JOBS Act until such time as those standards apply to private companies. We have elected to use the extended transition period for any new or revised accounting standards during the period in which we remain an emerging growth company; however, we may adopt certain new or revised accounting standards early if the standard allows early adoption. </w:t>
      </w:r>
    </w:p>
    <w:p>
      <w:pPr>
        <w:pStyle w:val="Heading1"/>
        <w:bidi w:val="0"/>
        <w:spacing w:before="360" w:after="283"/>
        <w:jc w:val="left"/>
        <w:rPr>
          <w:rFonts w:ascii="Times New Roman" w:hAnsi="Times New Roman"/>
          <w:color w:val="000000"/>
          <w:sz w:val="20"/>
        </w:rPr>
      </w:pPr>
      <w:r>
        <w:rPr>
          <w:rFonts w:ascii="Times New Roman" w:hAnsi="Times New Roman"/>
          <w:color w:val="000000"/>
          <w:sz w:val="20"/>
        </w:rPr>
        <w:t>Critical accounting policies and significant judgments and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condensed consolidated financial statements are prepared in accordance with generally accepted accounting principles in the United States. The preparation of these financial statements requires us to make estimates and assumptions that affect the amounts reported in the condensed consolidated financial statements and accompanying notes.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Our significant accounting policies are described in more detail in the notes to our condensed consolidated financial statements as of March 31, 2026 and for the three months ended March 31, 2026 and 2025, and are consistent with those discussed in Part II, Item 7. Management’s Discussion and Analysis of Financial Condition and Results of Operations “—Critical accounting policies and significant judgments and estimates” included in our 2025 Annual Report.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11" w:name="item_3_quantitative_qualitative_disclosu"/>
      <w:bookmarkEnd w:id="11"/>
      <w:r>
        <w:rPr>
          <w:rFonts w:ascii="Times New Roman" w:hAnsi="Times New Roman"/>
          <w:b/>
          <w:color w:val="000000"/>
          <w:sz w:val="20"/>
        </w:rPr>
        <w:t>Item 3. Quantitative and Qualitative Disclosures About Market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exposed to market risks in the ordinary course of our business, primarily related to interest rate sensitivities and the volatility of our common stock price.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Interest rate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March 31, 2026, we had cash, cash equivalents, and restricted cash of $88.0 million, which consisted of bank deposits and money market funds, and also had marketable securities of $17.3 million. The primary objective of our investment activities is to preserve capital to fund our operations while earning a low-risk return. Because our marketable securities are short-term in duration, we believe that our exposure to interest rate risk is not significant, and a hypothetical 10% change in market interest rates during any of the periods presented would not have had a significant impact on the total value of our portfolio. As of March 31, 2026, we had no debt outstanding that is subject to interest rate variability.</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Market capitalization and common stock price sensitivity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agreed to make a success payment to Cobalt based on our market capitalization payable in cash or stock, and success payments to Harvard based on increases in the per share fair market value of our common stock, payable in cash.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March 31, 2026, the estimated aggregate fair value of the success payment liabilities was $16.9 million. For the three months ended March 31, 2026, we recorded a gain of $2.3 million related to the aggregate change in the estimated fair value of our success payment liabilities.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Changes in our market capitalization and the fair value of our common stock as of each balance sheet date may have a relatively large change in the estimated valuation of the success payment liabilities and resulting expense or gain. For example, for the Cobalt Success Payment, keeping all other variables constant, a hypothetical 20% increase in our market capitalization as of March 31, 2026 from $0.8 billion to $0.9 billion would have decreased the gain recorded in the three months ended March 31, 2026 by $4.2 million to an expense of $2.4 million. A hypothetical 20% decrease in our market capitalization from $0.8 billion to $0.6 billion would have increased the gain recorded in the three months ended March 31, 2026 by $3.6 million to $5.4 million. For the Harvard Success Payments, keeping all other variables constant, a hypothetical 20% increase in our common stock price as of March 31, 2026 from $2.88 per share to $3.46 per share would have decreased the gain recorded in the three months ended March 31, 2026 by $0.3 million to $0.2 million. A hypothetical 20% decrease in the common stock price from $2.88 per share to $2.30 per share would have increased the gain recorded in the three months ended March 31, 2026 by $0.3 million to $0.8 million.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Foreign currency sensitivity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not currently exposed to significant market risk related to changes in foreign currency exchange rates; however, we do contract with vendors that are located outside of the United States and may be subject to fluctuations in foreign currency rates. We do not believe we will experience material impacts from such foreign currency sensitivity. We may enter into additional contracts with vendors located outside of the United States in the future, which may increase our foreign currency exchange risk.</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Effects of inflation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Inflation generally affects us by increasing our cost of labor and laboratory consumables. We believe that inflation has not had a material effect on our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bookmarkStart w:id="12" w:name="item_4_controls_procedures"/>
      <w:bookmarkEnd w:id="12"/>
      <w:r>
        <w:rPr>
          <w:rFonts w:ascii="Times New Roman" w:hAnsi="Times New Roman"/>
          <w:b/>
          <w:color w:val="000000"/>
          <w:sz w:val="20"/>
        </w:rPr>
        <w:t>Item 4. Controls</w:t>
      </w:r>
      <w:r>
        <w:rPr>
          <w:rFonts w:ascii="Times New Roman" w:hAnsi="Times New Roman"/>
          <w:color w:val="000000"/>
          <w:sz w:val="20"/>
        </w:rPr>
        <w:t xml:space="preserve"> </w:t>
      </w:r>
      <w:r>
        <w:rPr>
          <w:rFonts w:ascii="Times New Roman" w:hAnsi="Times New Roman"/>
          <w:b/>
          <w:color w:val="000000"/>
          <w:sz w:val="20"/>
        </w:rPr>
        <w:t>and Procedures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Evaluation of Disclosure 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management, with the participation of our principal executive officer and principal financial officer, has evaluated our disclosure controls and procedures (as defined in Rules 13a-15(e) and 15d-15(e) of the Exchange Act) as of the end of the period covered by this Quarterly Report. Our disclosure controls and procedures are designed to ensure that information required to be disclosed in the reports we file or submit under the Exchange Act is recorded, processed, summarized, and reported within the time periods specified in the SEC’s rules and forms, and that such information is accumulated and communicated to our management, including our principal executive and principal financial officer, to allow timely decisions regarding required disclosures.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controls and procedures, no matter how well-designed and operated, can provide only reasonable assurance of achieving the desired control objective and management necessarily applies its judgment in evaluating the cost-benefit relationship of possible controls and procedures. Based on this evaluation, our principal executive officer and principal financial officer concluded that, as of the end of the period covered by this Quarterly Report, the design and operation of our disclosure controls and procedures were effective at a reasonable assurance level.</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Changes in Internal Control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has been no change in our internal control over financial reporting during the quarter ended March 31, 2026 that has materially affected, or is reasonably likely to materially affect, our internal control over financial reporting.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aps/>
          <w:color w:val="000000"/>
          <w:sz w:val="20"/>
          <w:u w:val="single"/>
        </w:rPr>
      </w:pPr>
      <w:bookmarkStart w:id="13" w:name="part_ii_or_information"/>
      <w:bookmarkEnd w:id="13"/>
      <w:r>
        <w:rPr>
          <w:rFonts w:ascii="Times New Roman" w:hAnsi="Times New Roman"/>
          <w:b/>
          <w:caps/>
          <w:color w:val="000000"/>
          <w:sz w:val="20"/>
          <w:u w:val="single"/>
        </w:rPr>
        <w:t>PART II. OTHER INFORMATION</w:t>
      </w:r>
    </w:p>
    <w:p>
      <w:pPr>
        <w:pStyle w:val="TextBody"/>
        <w:bidi w:val="0"/>
        <w:spacing w:before="120" w:after="283"/>
        <w:jc w:val="left"/>
        <w:rPr>
          <w:rFonts w:ascii="Times New Roman" w:hAnsi="Times New Roman"/>
          <w:sz w:val="20"/>
        </w:rPr>
      </w:pPr>
      <w:bookmarkStart w:id="14" w:name="item_1_legal_proceedings"/>
      <w:bookmarkEnd w:id="14"/>
      <w:r>
        <w:rPr>
          <w:rFonts w:ascii="Times New Roman" w:hAnsi="Times New Roman"/>
          <w:b/>
          <w:color w:val="000000"/>
          <w:sz w:val="20"/>
        </w:rPr>
        <w:t>Item 1. Legal</w:t>
      </w:r>
      <w:r>
        <w:rPr>
          <w:rFonts w:ascii="Times New Roman" w:hAnsi="Times New Roman"/>
          <w:color w:val="000000"/>
          <w:sz w:val="20"/>
        </w:rPr>
        <w:t xml:space="preserve"> </w:t>
      </w:r>
      <w:r>
        <w:rPr>
          <w:rFonts w:ascii="Times New Roman" w:hAnsi="Times New Roman"/>
          <w:b/>
          <w:color w:val="000000"/>
          <w:sz w:val="20"/>
        </w:rPr>
        <w:t>Proceedings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we may in the ordinary course of business face various claims brought by third parties, including claims relating to employment matters and the safety and efficacy of our products, and we may, from time to time, make claims or take legal action to assert our rights, including action relating to our intellectual property rights. Any of these claims could subject us to costly litigation. Although we generally believe that we have adequate insurance to cover many different types of liabilities from third-party claims, our insurance carriers may deny coverage, may be inadequately capitalized to pay on valid claims, or our policy limits may be inadequate to fully satisfy any damage awards or settlements. If this were to happen, the payment of any such awards could have a material adverse effect on our operations, cash flows, or financial position. Additionally, any such claims, whether or not successful, could damage our reputation and business.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On March 21, 2025, a purported stockholder filed a putative class action complaint in the United States District Court for the Western District of Washington against the company and its current and former executives, Steven D. Harr, M.D., and Nathan Hardy, now captioned </w:t>
      </w:r>
      <w:r>
        <w:rPr>
          <w:rFonts w:ascii="Times New Roman" w:hAnsi="Times New Roman"/>
          <w:i/>
          <w:color w:val="000000"/>
          <w:sz w:val="20"/>
        </w:rPr>
        <w:t>In re Sana Biotechnology, Inc., Securities Litigation</w:t>
      </w:r>
      <w:r>
        <w:rPr>
          <w:rFonts w:ascii="Times New Roman" w:hAnsi="Times New Roman"/>
          <w:color w:val="000000"/>
          <w:sz w:val="20"/>
        </w:rPr>
        <w:t>, No. 2:25-cv-00512-BJR, alleging that the defendants made false and misleading statements concerning the company's business, operations, and prospects (the Action). On June 2, 2025, the court appointed Shane Honey and Jonatan Koskinen as co-lead plaintiffs (Lead Plaintiffs) and their respective choices of lead counsel as co-lead counsel in the Action. On August 15, 2025, the Lead Plaintiffs filed an amended complaint to serve as the operative complaint in the Action (the Complaint), which asserts claims against all defendants pursuant to Section 10(b) of the Exchange Act and Rule 10b-5 promulgated thereunder, as well as claims against the individual defendants pursuant to Section 20(a) of the Exchange Act. The Complaint alleges, among other things, that the defendants made false and misleading public statements and omissions regarding the development of SC291, which was our HIP-modified CD19-directed allogeneic CAR T cell product candidate, for the treatment of B-cell cancers, as well as our finances, operations, and business prospects. The Complaint purports to assert class action claims on behalf of all persons and entities that purchased or otherwise acquired our securities between January 9, 2024 and November 4, 2024 and seeks unspecified damages. On October 14, 2025, the defendants filed a motion to dismiss the Complaint (Motion to Dismiss). On December 15, 2025, the Lead Plaintiffs filed their opposition to the Motion to Dismiss, and on January 29, 2026, the defendants filed their reply in support of the Motion to Dismiss. In addition, on December 29, 2025, the Lead Plaintiffs filed a motion for leave to amend the Complaint (Motion to Amend). On January 20, 2026, the defendants filed their opposition to the Motion to Amend, and on February 3, 2026, the Lead Plaintiffs filed their reply in support of the Motion to Amend. Briefing on each of the Motion to Dismiss and Motion to Amend has concluded and such motions remain pending. The defendants intend to vigorously defend themselves in the Action. However, there can be no assurances as to the outcome.</w:t>
      </w:r>
    </w:p>
    <w:p>
      <w:pPr>
        <w:pStyle w:val="TextBody"/>
        <w:bidi w:val="0"/>
        <w:spacing w:before="360" w:after="283"/>
        <w:jc w:val="left"/>
        <w:rPr>
          <w:rFonts w:ascii="Times New Roman" w:hAnsi="Times New Roman"/>
          <w:b/>
          <w:color w:val="000000"/>
          <w:sz w:val="20"/>
        </w:rPr>
      </w:pPr>
      <w:bookmarkStart w:id="15" w:name="item_1a_risk_factors"/>
      <w:bookmarkEnd w:id="15"/>
      <w:r>
        <w:rPr>
          <w:rFonts w:ascii="Times New Roman" w:hAnsi="Times New Roman"/>
          <w:b/>
          <w:color w:val="000000"/>
          <w:sz w:val="20"/>
        </w:rPr>
        <w:t>Item 1A. Risk Factors</w:t>
      </w:r>
    </w:p>
    <w:p>
      <w:pPr>
        <w:pStyle w:val="TextBody"/>
        <w:bidi w:val="0"/>
        <w:spacing w:before="120" w:after="283"/>
        <w:jc w:val="left"/>
        <w:rPr>
          <w:rFonts w:ascii="Times New Roman" w:hAnsi="Times New Roman"/>
          <w:sz w:val="20"/>
        </w:rPr>
      </w:pPr>
      <w:bookmarkStart w:id="16" w:name="toc124805_2"/>
      <w:bookmarkEnd w:id="16"/>
      <w:r>
        <w:rPr>
          <w:rFonts w:ascii="Times New Roman" w:hAnsi="Times New Roman"/>
          <w:i/>
          <w:color w:val="000000"/>
          <w:sz w:val="20"/>
        </w:rPr>
        <w:t>Investing in shares of our common stock involves a high degree of risk. You should carefully consider the following risks and uncertainties, together with all of the other information contained in this Quarterly Report, including our financial statements and related notes included elsewhere in this Quarterly Report, before making an investment decision. The risks described below are not the only ones we face. Many of the following risks and uncertainties are, and will continue to be, exacerbated by any worsening of the global geo-political, business, and economic environment. The occurrence of any of the following risks, or of additional risks and uncertainties not presently known to us or that we currently believe to be immaterial, could materially and adversely affect our business, financial condition, reputation, or results of operations. In such a case, the trading price of shares of our common stock could decline, and you may lose all or part of your investment.</w:t>
      </w:r>
      <w:r>
        <w:rPr>
          <w:rFonts w:ascii="Times New Roman" w:hAnsi="Times New Roman"/>
          <w:color w:val="000000"/>
          <w:sz w:val="20"/>
        </w:rPr>
        <w:t xml:space="preserve">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Summary Risk Factors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The summary risk factors set forth below are the principal risks and uncertainties that we believe are material to our investors and a reader should carefully consider them. However, there are additional risks and uncertainties described in more detail in this “Risk Factors” section. This summary does not address every aspect of our risk factors, all of the risks that we face, or other factors not presently known to us or that we currently believe are immaterial.</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Our</w:t>
      </w:r>
      <w:r>
        <w:rPr>
          <w:color w:val="000000"/>
        </w:rPr>
        <w:t xml:space="preserve"> </w:t>
      </w:r>
      <w:r>
        <w:rPr>
          <w:rFonts w:ascii="Times New Roman" w:hAnsi="Times New Roman"/>
          <w:i/>
          <w:color w:val="000000"/>
          <w:sz w:val="20"/>
        </w:rPr>
        <w:t>ex vivo</w:t>
      </w:r>
      <w:r>
        <w:rPr>
          <w:color w:val="000000"/>
        </w:rPr>
        <w:t xml:space="preserve"> </w:t>
      </w:r>
      <w:r>
        <w:rPr>
          <w:rFonts w:ascii="Times New Roman" w:hAnsi="Times New Roman"/>
          <w:color w:val="000000"/>
          <w:sz w:val="20"/>
        </w:rPr>
        <w:t xml:space="preserve">and </w:t>
      </w:r>
      <w:r>
        <w:rPr>
          <w:rFonts w:ascii="Times New Roman" w:hAnsi="Times New Roman"/>
          <w:i/>
          <w:color w:val="000000"/>
          <w:sz w:val="20"/>
        </w:rPr>
        <w:t xml:space="preserve">in vivo </w:t>
      </w:r>
      <w:r>
        <w:rPr>
          <w:rFonts w:ascii="Times New Roman" w:hAnsi="Times New Roman"/>
          <w:color w:val="000000"/>
          <w:sz w:val="20"/>
        </w:rPr>
        <w:t>cell engineering platforms are based on novel technologies that are unproven and may not result in approvable or marketable products. This uncertainty exposes us to unforeseen risks, makes it difficult for us to predict the time and cost that will be required for the development and potential regulatory approval of our product candidates, and increases the risk that we may ultimately not be successful in our efforts to use and expand our technology platforms to build a pipeline of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are unable to successfully identify, develop, and commercialize any product candidates, or experience significant delays in doing so, our business, financial condition, and results of operations will be materially adversely affected.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is substantial doubt as to our ability to continue as a going concern.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will require additional funding to finance our operations. If we are unable to raise capital when needed, or on acceptable terms, we could be forced to delay, reduce, or eliminate some or all of our product development programs or commercialization efforts.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not realize the benefits of technologies that we have acquired or in-licensed or will acquire or in-license in the future. We may also fail to enter into new strategic relationships or may not realize the benefits of any strategic relationships that we have entered into. The occurrence of any of the foregoing could materially adversely affect our business, financial condition, commercialization prospects, and results of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develop our cell engineering platforms and product candidates and our future growth depend on retaining our key personnel and recruiting additional qualified personnel.</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We may encounter difficulties in managing our growth if and</w:t>
      </w:r>
      <w:r>
        <w:rPr>
          <w:color w:val="000000"/>
        </w:rPr>
        <w:t xml:space="preserve"> </w:t>
      </w:r>
      <w:r>
        <w:rPr>
          <w:rFonts w:ascii="Times New Roman" w:hAnsi="Times New Roman"/>
          <w:color w:val="000000"/>
          <w:sz w:val="20"/>
        </w:rPr>
        <w:t>as we expand our operations, including our development and regulatory capabilities, which could disrupt our operations and otherwise harm our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use of human stem cells exposes us to a number of risks in the development of our human stem cell-derived products, including inability to obtain suitable donor material from eligible and qualified human donors, restrictions on the use of human stem cells, as well as ethical, legal, and social implications of research on the use of stem cells, any of which could prevent us from completing the development of or commercializing and gaining acceptance for our human stem cell-derived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must successfully progress our product candidates through extensive preclinical studies and clinical trials in order to obtain regulatory approval to market and sell such product candidates. Even if we obtain positive results in preclinical studies or clinical trials of a product candidate, these results may not be predictive of the results of future preclinical studies or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Preclinical testing of our product candidates may be delayed or otherwise unsuccessful, which would harm our ability to commence and successfully complete clinical trials of, and ultimately commercialize, such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Clinical drug development is a lengthy and expensive process with uncertain timelines and outcomes. If clinical trials of any of our product candidates are prolonged or delayed, or need to be terminated, we may be unable to obtain required regulatory approvals and commercialize such product candidates on a timely basis or at all.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Clinical trials may fail to demonstrate that our product candidates, including any future product candidates, or technologies used in or used to develop such product candidates, meet the United States Food and Drug Administration’s (FDA) or a comparable foreign regulatory authority's requirements with respect to safety, purity, and potency, or efficacy, which would prevent, delay, or limit the scope of regulatory approval and commercialization of such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product candidates may cause serious adverse, undesirable, or unacceptable side effects or have other properties that may delay or prevent marketing approval. If a product candidate receives regulatory approval, and such side effects are identified following such approval, the commercial profile of any approved label may be limited, or we may be subject to other significant negative consequences following such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manufacture of our product candidates is complex. We or our contract development and manufacturing organizations (CDMOs) may encounter difficulties in production, which could delay or entirely halt our or their ability to supply our product candidates for clinical trials or, if approved, for commercial sale.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exposed to a number of risks related to the supply chain for the materials required to manufacture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rely, and expect to continue to rely, on third parties to perform certain activities, including research and preclinical studies, manufacture of our product candidates and materials used in the manufacturing of our product candidates, and the conduct of various aspects of our clinical trials. Any failure of such third parties to perform their obligations to us, including in accordance with our timelines or applicable regulatory requirements, could materially harm our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success depends on our ability to protect our intellectual property rights and proprietary technologies, and we may not be able to protect our intellectual property rights throughout the world.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depend on intellectual property licensed from third parties. If we breach our obligations under the applicable license agreements or if any of these agreements is terminated, we may be required to pay damages, lose our rights to such intellectual property and technology, or both, which would harm our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internal computer systems, or those used by third parties involved in our operations, such as research institution collaborators, clinical research organizations (CROs), CDMOs, and other service providers, contractors, or consultants, may fail or suffer security breaches or incidents.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development and commercialization of biopharmaceutical products is subject to extensive regulation, and the regulatory approval processes of the FDA and comparable foreign regulatory authorities are lengthy, time-consuming, and inherently unpredictable. Disruptions at these regulatory authorities could delay or otherwise hinder the regulatory approval process for our product candidates. If we are unable to obtain regulatory approval for our product candidates on a timely basis, or at all, our business will be substantially harmed.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incurred significant losses since our inception, and we expect to incur losses for the foreseeable future. We have no products approved for commercial sale and may never achieve or maintain profitability.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success payment and contingent consideration obligations in our license and acquisition agreements may result in dilution to our stockholders, drain our cash resources, or require us to incur debt to satisfy the payment obligations.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operate in highly competitive and rapidly changing industries, which may result in others discovering, developing, or commercializing competing products before or more successfully than we do.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limited operating history may make it difficult to evaluate our prospects and likelihood of success.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or the third parties upon whom we depend may be adversely affected by natural disasters, public health epidemics, telecommunications or electrical failures, geo-political actions, including war and terrorism, political and economic instability, and other events beyond our control, and our business continuity and disaster recovery plans may not adequately protect us from a serious disaster.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Market and economic conditions may negatively impact our business, financial condition, and share price.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Risks Related to Our Business and Industry</w:t>
      </w:r>
    </w:p>
    <w:p>
      <w:pPr>
        <w:pStyle w:val="TextBody"/>
        <w:bidi w:val="0"/>
        <w:spacing w:before="120" w:after="283"/>
        <w:jc w:val="left"/>
        <w:rPr>
          <w:rFonts w:ascii="Times New Roman" w:hAnsi="Times New Roman"/>
          <w:sz w:val="20"/>
        </w:rPr>
      </w:pPr>
      <w:r>
        <w:rPr>
          <w:rFonts w:ascii="Times New Roman" w:hAnsi="Times New Roman"/>
          <w:b/>
          <w:i/>
          <w:color w:val="000000"/>
          <w:sz w:val="20"/>
        </w:rPr>
        <w:t>Our ex vivo and in vivo cell engineering platforms are based on novel technologies that are unproven and may not result in approvable or marketable products. This uncertainty exposes us to unforeseen risks, makes it difficult for us to predict the time and cost that will be required for the development and potential regulatory approval of our product candidates, and increases the risk that we may ultimately not be successful in our efforts to use and expand our technology platforms to build a pipeline of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A key element of our strategy is to identify and develop a pipeline of product candidates using our </w:t>
      </w:r>
      <w:r>
        <w:rPr>
          <w:rFonts w:ascii="Times New Roman" w:hAnsi="Times New Roman"/>
          <w:i/>
          <w:color w:val="000000"/>
          <w:sz w:val="20"/>
        </w:rPr>
        <w:t>ex vivo</w:t>
      </w:r>
      <w:r>
        <w:rPr>
          <w:rFonts w:ascii="Times New Roman" w:hAnsi="Times New Roman"/>
          <w:color w:val="000000"/>
          <w:sz w:val="20"/>
        </w:rPr>
        <w:t xml:space="preserve"> and </w:t>
      </w:r>
      <w:r>
        <w:rPr>
          <w:rFonts w:ascii="Times New Roman" w:hAnsi="Times New Roman"/>
          <w:i/>
          <w:color w:val="000000"/>
          <w:sz w:val="20"/>
        </w:rPr>
        <w:t>in vivo</w:t>
      </w:r>
      <w:r>
        <w:rPr>
          <w:rFonts w:ascii="Times New Roman" w:hAnsi="Times New Roman"/>
          <w:color w:val="000000"/>
          <w:sz w:val="20"/>
        </w:rPr>
        <w:t xml:space="preserve"> cell engineering platforms and advance those product candidates through clinical development for the treatment of various different diseases. The scientific research that forms the basis of our efforts to develop product candidates with our platforms is still ongoing. We are not aware of any FDA-approved therapeutics that are cell products derived from pluripotent stem cells (PSCs) or that utilize our fusogen technology. Further, the scientific evidence that supports the feasibility of developing therapeutic treatments based on our platforms is preliminary, limited, and remains ongoing. We are therefore exposed to a number of unforeseen risks, and it is difficult to predict the types of challenges and risks that we may encounter during development of our product candidates.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Preclinical and clinical testing of product candidates is inherently unpredictable and may lead to unexpected results, in particular when such product candidates are based on novel technologies. For example, we have not tested our cell engineering platforms on all cell types or in all microenvironments, and results from one cell type or microenvironment may not translate into other cell types or microenvironments. In addition, our current gene editing approaches rely on novel gene editing reagents that may have unanticipated or undesirable effects or prove to be less effective than we expect. Also, we are in the early stages of testing product candidates developed using our cell engineering platforms in humans, and most of our current data are limited to animal models and preclinical cell lines and assays, which may not accurately predict the safety and efficacy of our product candidates in humans. Additionally, we and third parties may have limited preclinical and clinical data, and a more limited understanding generally, with respect to certain indications, such as autoimmune diseases, and we cannot predict the extent to which the safety and efficacy of a product candidate may vary across indications. We may encounter significant challenges creating appropriate models and assays for evaluating the safety, purity, and efficacy of our product candidates and may not be able to provide sufficient data or other evidence, to the satisfaction of regulatory authorities, that certain unexpected results observed in preclinical and clinical testing of our product candidates are not indicative of the potential safety issues of such product candidates. In addition, we may use manufacturing reagents and materials across various programs and initiatives. Certain reagents and materials may be novel and have unknown or unanticipated effects, including with respect to a product candidate’s safety, efficacy, or manufacturability. Any unanticipated or adverse effects related or attributed to such reagents or materials could affect all the programs and initiatives in which they are used, and result in delays and harm our ability to timely and successfully progress our product candidates through preclinical and clinical development.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develop program plans and timelines for certain product candidates based on our experience with such product candidates in different indications or with other product candidates that incorporate or were developed with the same technologies based on our expectation that such product candidates will perform and act similarly. However, our product candidates may reveal unexpected, important differences, including with respect to safety or efficacy, when developed in different indications or as compared to such other product candidates, including differences that may require changes to the manufacturing process or clinical development plan that require additional time and resources beyond what we initially anticipated. Any such occurrence could require us to adjust or alter our development plans, which could delay, harm, or prevent our ability to develop and commercialize such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product candidates developed with our hypoimmune and fusogen technologies have potential safety risks, including those related to genotoxicity associated with the delivery of genome-modifying payloads. For example, DNA sequences that randomly integrate into a cell’s DNA may increase the risk for or cause certain cancers. Additionally, gene editing approaches may edit the genome at sites other than the intended DNA target or cause DNA rearrangements, each of which may have oncogenic or other adverse effects. PSC-derived cell products may have potential safety risks related to genomic and epigenomic variations that have occurred or may occur during the manufacturing process. We cannot always predict the types and potential impact of these genomic changes, including whether certain changes are or may eventually be harmful. Accordingly, it may be difficult for us to conduct the level of testing and assay development necessary to ensure that our PSC-derived cell product candidates have an acceptable safety profile when used in humans. These risks related to genetic variation are also relevant to any product candidates we may develop using donor-derived cells. Additionally, our stem cell-based product candidates have potential safety risks that may result from cells that are undifferentiated or have not been completely differentiated to the desired phenotype and lead to oncogenic transformations or other adverse effects. As a result, it is possible that safety events or concerns could negatively affect the development of our product candidates, as described elsewhere in these Risk Factors.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Given the novelty of our technologies, we intend to work closely with the FDA and comparable foreign regulatory authorities to perform the requisite scientific analyses and evaluation of our methods to obtain regulatory approval for our product candidates. However, due to a lack of experience with similar therapeutics or delivery methods, the regulatory pathway with the FDA and comparable foreign regulatory authorities may be more complex, time-consuming, and unpredictable relative to more well-known therapeutics. For example, even if we obtain human data to support continued evaluation and approval of our product candidates, the FDA or comparable foreign regulatory authorities may lack experience in evaluating the safety and efficacy of therapeutics similar to our product candidates or may scrutinize such data more closely than data generated from more established types of biological products. In addition, given that there are no approved PSC-derived cell therapy products on the market, the FDA and comparable foreign regulatory authorities have not established consistent standards by which to evaluate the safety of such products, and any such standards that they do establish may subsequently change. Moreover, the FDA remains focused on potential safety issues associated with gene and cell therapy products, and as the number of new gene and cell therapy product candidates submitted for FDA review has increased in recent years, the number of clinical holds imposed by the FDA has also increased. For example, the FDA has placed clinical holds on certain product candidates pending further evaluation of genomic abnormalities detected in as few as a single patient following administration of such product candidates. We cannot be certain that the FDA or comparable foreign regulatory authorities will determine that the potential safety risks associated with our product candidates outweigh the potential therapeutic benefits in each indication for which we develop our products, and that they will allow us to commence clinical trials of such product candidates in a timely manner, or at all, or to continue such clinical trials in accordance with our timelines or at all after they have commenced. If we become subject to a clinical hold with respect to any of our product candidates due to a potential safety issue, we cannot guarantee that we will be able to provide the applicable regulatory authority with sufficient data or other evidence regarding the safety profile of such product candidate such that we will be able to commence or resume clinical development of such product candidates in a timely manner or at all. Any such event could delay clinical development of such product candidate, including in other indications, or our other product candidates, increase our expected development costs, increase the length of the regulatory review process, and delay or prevent commercialization of our product candidates. In addition, the evaluation process for our product candidates will take time and resources and may require independent third-party analyses, and our product candidates may ultimately not be accepted or approved by the FDA or comparable foreign regulatory authorities. As such, even if we are successful in building a pipeline of product candidates from our </w:t>
      </w:r>
      <w:r>
        <w:rPr>
          <w:rFonts w:ascii="Times New Roman" w:hAnsi="Times New Roman"/>
          <w:i/>
          <w:color w:val="000000"/>
          <w:sz w:val="20"/>
        </w:rPr>
        <w:t>ex vivo</w:t>
      </w:r>
      <w:r>
        <w:rPr>
          <w:rFonts w:ascii="Times New Roman" w:hAnsi="Times New Roman"/>
          <w:color w:val="000000"/>
          <w:sz w:val="20"/>
        </w:rPr>
        <w:t xml:space="preserve"> and </w:t>
      </w:r>
      <w:r>
        <w:rPr>
          <w:rFonts w:ascii="Times New Roman" w:hAnsi="Times New Roman"/>
          <w:i/>
          <w:color w:val="000000"/>
          <w:sz w:val="20"/>
        </w:rPr>
        <w:t>in vivo</w:t>
      </w:r>
      <w:r>
        <w:rPr>
          <w:rFonts w:ascii="Times New Roman" w:hAnsi="Times New Roman"/>
          <w:color w:val="000000"/>
          <w:sz w:val="20"/>
        </w:rPr>
        <w:t xml:space="preserve"> cell engineering platforms, we cannot be certain that such efforts will lead to the development of approvable or marketable products, either alone or in combination with other therapies.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In response to reports of T cell malignancies in patients that previously received chimeric antigen receptor (CAR) T cell immunotherapies, the FDA announced in November 2023 its investigation into the risk of secondary cancers and the need for regulatory action for such therapies as a class and advised of new patient monitoring and reporting requirements with respect to such therapies. In January 2024, the FDA imposed a class-wide boxed warning requirement regarding the occurrence of T cell malignancies for all approved CAR T therapies. The FDA has noted that it currently believes that the overall benefits of these therapies continue to outweigh their potential risks for their approved uses. However, all currently approved CAR T cell immunotherapies are approved only in oncology indications, and there can be no assurance that the FDA or comparable foreign regulatory authorities will reach the same risk-benefit determination in other indications, such as autoimmune diseases. To the extent the FDA views </w:t>
      </w:r>
      <w:r>
        <w:rPr>
          <w:rFonts w:ascii="Times New Roman" w:hAnsi="Times New Roman"/>
          <w:i/>
          <w:color w:val="000000"/>
          <w:sz w:val="20"/>
        </w:rPr>
        <w:t xml:space="preserve">in vivo </w:t>
      </w:r>
      <w:r>
        <w:rPr>
          <w:rFonts w:ascii="Times New Roman" w:hAnsi="Times New Roman"/>
          <w:color w:val="000000"/>
          <w:sz w:val="20"/>
        </w:rPr>
        <w:t xml:space="preserve">CAR T cell therapies as posing similar or additional risks to those posed by the </w:t>
      </w:r>
      <w:r>
        <w:rPr>
          <w:rFonts w:ascii="Times New Roman" w:hAnsi="Times New Roman"/>
          <w:i/>
          <w:color w:val="000000"/>
          <w:sz w:val="20"/>
        </w:rPr>
        <w:t xml:space="preserve">ex vivo </w:t>
      </w:r>
      <w:r>
        <w:rPr>
          <w:rFonts w:ascii="Times New Roman" w:hAnsi="Times New Roman"/>
          <w:color w:val="000000"/>
          <w:sz w:val="20"/>
        </w:rPr>
        <w:t xml:space="preserve">CAR T therapies that were the subject of these FDA actions, the FDA may require us to take certain actions in connection with any </w:t>
      </w:r>
      <w:r>
        <w:rPr>
          <w:rFonts w:ascii="Times New Roman" w:hAnsi="Times New Roman"/>
          <w:i/>
          <w:color w:val="000000"/>
          <w:sz w:val="20"/>
        </w:rPr>
        <w:t>in vivo</w:t>
      </w:r>
      <w:r>
        <w:rPr>
          <w:rFonts w:ascii="Times New Roman" w:hAnsi="Times New Roman"/>
          <w:color w:val="000000"/>
          <w:sz w:val="20"/>
        </w:rPr>
        <w:t xml:space="preserve"> CAR T cell clinical trials we may conduct or we may otherwise receive correspondence from the FDA regarding these developments. It is unclear at this time how changes in the leadership of the FDA and other government administration actions and changes will impact our operations and future interactions with the FDA. Additionally, we and our product candidates may be subject to further regulatory actions or requirements of the FDA or comparable foreign regulatory authorities relating to these therapies, such as requiring a black box warning or other labeling disclosures for any approved products. The occurrence of any of the foregoing could increase the cost and complexity of development and commercialization of, and limit the commercial opportunity for, such product candidates, any of which could have a material adverse effect on our business.</w:t>
      </w:r>
    </w:p>
    <w:p>
      <w:pPr>
        <w:pStyle w:val="TextBody"/>
        <w:bidi w:val="0"/>
        <w:spacing w:before="360" w:after="283"/>
        <w:jc w:val="left"/>
        <w:rPr>
          <w:rFonts w:ascii="Times New Roman" w:hAnsi="Times New Roman"/>
          <w:sz w:val="20"/>
        </w:rPr>
      </w:pPr>
      <w:r>
        <w:rPr>
          <w:rFonts w:ascii="Times New Roman" w:hAnsi="Times New Roman"/>
          <w:b/>
          <w:i/>
          <w:color w:val="000000"/>
          <w:sz w:val="20"/>
        </w:rPr>
        <w:t>If we are unable to successfully identify, develop, and commercialize any product candidates, or experience significant delays in doing so, our business, financial condition, and results of operations will be materially adversely affected.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generate revenue from sales of any of our product candidates, which we do not expect to occur for at least the next several years, if ever, will depend heavily on the timely and successful identification, development, regulatory approval, and eventual commercialization of any such product candidates, which may never occur. To date, we have not generated revenue from sales of any products, and we may never be able to develop, obtain regulatory approval for, or commercialize a marketable product. Before we generate any revenue from product sales of any of our current or potential future product candidates, we will need to manage research, preclinical, clinical, and manufacturing activities, including undertaking significant clinical development, obtain regulatory approval in multiple jurisdictions, establish manufacturing supply, including commercial manufacturing supply, and build a commercial organization, which will require substantial investment and significant marketing efforts. We may never receive regulatory approval for any of our product candidates, which would prevent us from marketing, promoting, or selling any of our product candidates and generating revenue.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successful development of our product candidates will depend on or be affected by numerous factors, including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successful and timely completion of preclinical studies and clinical trials for which the FDA and any comparable foreign regulatory authorities agree with the design, endpoints, and implementation;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sufficiency of our financial and other resources to complete the necessary preclinical studies and clinical trials and manufacturing activities necessary to support such studies and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timely receipt of regulatory approvals or authorizations to conduct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timely and successfully initiate, enroll patients in, and complete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demonstrate to the satisfaction of the FDA or any comparable foreign regulatory authority that the applicable product candidate meets the FDA’s or such comparable foreign regulatory authority’s legal standards with respect to safety, purity, and potency, or efficacy, which may include, among other things, demonstrating that the benefits of the product candidate outweigh its known risks for the intended patient population, and that such product candidate can be manufactured in accordance with applicable legal requirements;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timely receipt of marketing approvals for our product candidates from applicable regulatory authorities, including the impact of any changes to the FDA’s Accelerated Approval Program;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address any potential interruptions or delays resulting from external factors, including those related to the current global geo-political, business, and economic environment, including any changes in government administration policy positions;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extent of any clinical or regulatory setbacks experienced by other companies developing similar products or within adjacent fields, including cell-based therapies and the fields of gene editing and gene therapy, or publications or press coverage related to such therapies and fields, which could negatively impact the perceptions of the value and risk of our product candidates and technologies;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extent of any post-marketing approval commitments we may be required to make to applicable regulatory authorities, including the conduct of any post-marketing approval clinical studies, and our ability to comply with any such commitments;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establish, scale up, and scale out, either alone or with CDMOs, manufacturing capabilities for clinical supply of our product candidates for our clinical trials and, if any of our product candidates are approved, commercial supply (including licensure) of such product candidates.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we experience issues or delays with respect to any one or more of these factors, we could experience significant delays or be unable to successfully develop and commercialize our product candidates, which would materially adversely affect our business, financial condition, and results of operations. </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not realize the benefits of technologies that we have acquired or in-licensed or will acquire or in-license in the future.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A key component of our strategy is to acquire and in-license technologies to support our mission of using engineered cells as medicines. Our </w:t>
      </w:r>
      <w:r>
        <w:rPr>
          <w:rFonts w:ascii="Times New Roman" w:hAnsi="Times New Roman"/>
          <w:i/>
          <w:color w:val="000000"/>
          <w:sz w:val="20"/>
        </w:rPr>
        <w:t>ex vivo</w:t>
      </w:r>
      <w:r>
        <w:rPr>
          <w:rFonts w:ascii="Times New Roman" w:hAnsi="Times New Roman"/>
          <w:color w:val="000000"/>
          <w:sz w:val="20"/>
        </w:rPr>
        <w:t xml:space="preserve"> and </w:t>
      </w:r>
      <w:r>
        <w:rPr>
          <w:rFonts w:ascii="Times New Roman" w:hAnsi="Times New Roman"/>
          <w:i/>
          <w:color w:val="000000"/>
          <w:sz w:val="20"/>
        </w:rPr>
        <w:t>in vivo</w:t>
      </w:r>
      <w:r>
        <w:rPr>
          <w:rFonts w:ascii="Times New Roman" w:hAnsi="Times New Roman"/>
          <w:color w:val="000000"/>
          <w:sz w:val="20"/>
        </w:rPr>
        <w:t xml:space="preserve"> cell engineering technologies represent an aggregation of years of innovation and technology from multiple academic institutions and companies, including hypoimmune technology that we licensed from the President and Fellows of Harvard College (Harvard) and The Regents of the University of California (UCSF), our fusogen technology that we acquired from Cobalt Biomedicine, Inc. (Cobalt), and gene editing technology that we licensed from Beam Therapeutics Inc., among others. We continue to actively evaluate various acquisition and licensing opportunities on an ongoing basis.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level of success of these acquisition and in-licensing arrangements, including any that we may enter into in the future, will depend on the risks and uncertainties involved,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unanticipated liabilities related to acquired companies;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difficulty integrating acquired personnel, technologies, and operations into our existing business;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difficulty retaining key employees, including of any acquired businesses;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diversion of management time and focus from operating our business to management of acquisition and integration efforts;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increases in our expenses and reductions in our cash available for operations and other uses;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higher than expected acquisition or integration costs;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disruption in our relationships with collaborators, key suppliers, manufacturers, or customers as a result of an acquisition;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incurrence of substantial debt or dilutive issuances of equity securities to pay transaction consideration or costs;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possible write-offs of assets, goodwill or impairment charges, or increased amortization expenses relating to acquired businesses;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difficulty in and cost of combining the operations and personnel of any acquired business with our own;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challenges integrating acquired businesses into our business, including our existing operations and culture.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example, we have conducted several portfolio prioritizations to consolidate our resource allocation to fewer programs, resulting in, among other things, workforce reductions. Most recently, we conducted a portfolio prioritization to prioritize future development of SC451, our type 1 diabetes program, and programs enabled by our fusogen platform, and suspended development of and further internal investment in our two allogeneic cell therapy CAR T programs. Furthermore, we regularly evaluate our portfolio and may conduct further portfolio prioritizations in the future, which could result in the suspension, discontinuation, or divestiture of certain programs that are our current focus of development, which increases the risk that the benefits we expected from any acquired technologies, such as the fusogen platform, may be more expensive and difficult to obtain or may not occur at all.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foreign acquisitions and licensing arrangements are subject to additional risks, including those related to integration of operations across different cultures and languages, currency risks, potentially adverse tax consequences of overseas operations, and the particular economic, political, regulatory, and compliance risks associated with specific countries. The occurrence of any of these risks or uncertainties may preclude us from realizing the anticipated benefit of any acquisition or licensing arrangement, and our financial condition may be harmed.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Additionally, we may not be successful in our efforts to acquire, obtain rights to, or otherwise access certain technologies or products that are necessary for the success of our product candidates or technologies on acceptable terms or at all, including because we may be unable to successfully or timely negotiate the terms of an agreement with the third-party owner of such technology or products or such third party may have determined to deprioritize such technology or products. Such transactions, as well as other strategic relationships we may enter into, may also be impacted by policies of or actions by certain regulatory authorities, such as the Federal Trade Commission (FTC), that have jurisdiction over various aspects of such transactions and relationships. If we are not able to acquire, obtain rights to, or otherwise access certain technologies or products on which certain of our product candidates or technologies may depend, it may be necessary for us to delay, reduce, or curtail the development of such product candidates or technologies, or incur additional costs in order to continue development without such rights.</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fail to enter into new strategic relationships or may not realize the benefits of any strategic relationships that we have entered into, either of which could materially adversely affect our business, financial condition, commercialization prospects, and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Our product development programs and the potential commercialization of our product candidates will require substantial additional cash to fund expenses. In addition, our </w:t>
      </w:r>
      <w:r>
        <w:rPr>
          <w:rFonts w:ascii="Times New Roman" w:hAnsi="Times New Roman"/>
          <w:i/>
          <w:color w:val="000000"/>
          <w:sz w:val="20"/>
        </w:rPr>
        <w:t>ex vivo</w:t>
      </w:r>
      <w:r>
        <w:rPr>
          <w:rFonts w:ascii="Times New Roman" w:hAnsi="Times New Roman"/>
          <w:color w:val="000000"/>
          <w:sz w:val="20"/>
        </w:rPr>
        <w:t xml:space="preserve"> and </w:t>
      </w:r>
      <w:r>
        <w:rPr>
          <w:rFonts w:ascii="Times New Roman" w:hAnsi="Times New Roman"/>
          <w:i/>
          <w:color w:val="000000"/>
          <w:sz w:val="20"/>
        </w:rPr>
        <w:t>in vivo</w:t>
      </w:r>
      <w:r>
        <w:rPr>
          <w:rFonts w:ascii="Times New Roman" w:hAnsi="Times New Roman"/>
          <w:color w:val="000000"/>
          <w:sz w:val="20"/>
        </w:rPr>
        <w:t xml:space="preserve"> cell engineering platforms are attractive technologies for potential collaborations due to their breadth of application. Therefore, for certain of our product candidates or technologies, including those that we may develop in the future, we may decide to form or seek strategic alliances, collaborations, or similar arrangements with pharmaceutical or biotechnology companies or other third parties that we believe will complement or augment our development and potential commercialization efforts with respect to such product candidates, including in territories outside the United States or for certain indications. We may also pursue alternative strategies or relationships, such as spin-outs, joint ventures, or investments in complementary businesses that align with our strategy, which may pose risks similar to those described elsewhere in these Risk Factors with respect to collaborations, as well as additional risks unique to these types of relationships. To the extent we enter into strategic relationships involving parties located outside the United States, we are subject to similar risks to those described elsewhere in these Risk Factors with respect to foreign acquisitions and licensing arrangements.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face significant challenges, including competition, in seeking appropriate collaborators. Collaborations are complex and time-consuming to negotiate and document. We may not be successful in our efforts to establish a collaboration or other alternative arrangements for our product candidates or technologies on acceptable terms or at all, including because our product candidates or technologies may be deemed to be at too early of a stage of development for collaborative effort or third parties may not view our product candidates as having the requisite potential to demonstrate success in clinical trials and ultimately obtain regulatory approval. We may incur costs to continue developing one or more of our product candidates or technologies to establish or support an appropriate collaboration, which costs may outweigh the benefit of any such collaboration, if we are able to enter into a collaboration at all. Additionally, there have been a significant number of recent business combinations among large pharmaceutical companies that have reduced the number of potential future collaborators and changed the strategies of the resulting combined companies. In addition, under the terms of certain license agreements applicable to our product candidates and technologies, we may be restricted from entering into collaboration or similar agreements relating to those product candidates or technologies on certain terms or at all, and when we collaborate with a third party for development and commercialization of a product candidate, we expect that we may have to relinquish some or all of the control over the future success of that product candidate to the third party. Our ability to reach a definitive agreement for a collaboration will depend, among other things, upon our assessment of the collaborator’s resources and expertise, the terms and conditions of the proposed collaboration, and the proposed collaborator’s evaluation of our technologies, product candidates, and market opportunities. The collaborator may also consider alternative product candidates or technologies for similar indications that may be available for collaboration and could determine that such other collaboration is more attractive than a collaboration with us for our product candidate. Similar risks exist with respect to any joint ventures we may pursue, as well as risks and uncertainties related to the costs, time, and other resources required to manage and gain the benefit of any such joint venture, and any potential liabilities we may incur in connection with a joint venture.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instances where we enter into collaborations, we could be subject to the following risks, each of which may materially harm our business, commercialization prospects, and financial condition: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may have significant discretion in determining the efforts and resources that they will apply to a collaboration and may not commit sufficient efforts, funding, and other resources to the development or marketing programs for collaboration product candidates or may misapply those efforts, funding, or resources;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may experience financial difficulties, including those that could negatively impact their ability to perform their obligations pursuant to the collaboration agreement, such as funding and development obligations;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may not pursue development and commercialization of collaboration product candidates or may elect not to continue or renew development or commercialization programs based on clinical trial results or changes in their strategic focus;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may decide or may be required by regulatory authorities to delay clinical trials, stop a clinical trial, or abandon a product candidate, repeat or conduct new clinical trials, or require a new formulation of a product candidate for clinical testing;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required to relinquish important rights to our product candidates or technologies, such as marketing, distribution, and intellectual property rights;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required to agree to exclusivity, non-competition, or other terms that restrict our ability to research, develop, or commercialize certain existing or potential future product candidates or technologies, including our ability to develop our product candidates in certain indications or geographic regions or combine our product candidates with certain third-party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may not properly maintain or defend our intellectual property rights or may use our proprietary information in a way that gives rise to actual or threatened litigation that could jeopardize or invalidate our intellectual property rights or proprietary information or expose us to potential liability;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may infringe the intellectual property rights of third parties, which may expose us to litigation and potential liability;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may acquire outside of the collaboration or develop, independently or in collaboration with third parties, including our competitors, products that compete directly or indirectly with our product candidates and may decide to advance such product candidates instead of ours;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may own or co-own intellectual property rights covering the product candidates or technologies that result from our collaboration, and in such cases, we may not have the exclusive right to commercialize such product candidates or technologies;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and our collaborators may disagree regarding the development plan for a collaboration product candidate, including, for example, with respect to target indications, inclusion or exclusion criteria for a clinical trial, or the decision to seek approval as front-line therapy versus second-, third-, or fourth-line therapy;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disputes may arise with our collaborators that could result in the delay or termination of the research, development, or commercialization of the applicable product candidates or costly litigation or arbitration that diverts management attention and resources;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business combinations or significant changes in a collaborator’s business strategy may adversely affect our or the collaborator’s willingness to complete our or such collaborator’s obligations under the collaboration;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collaborations may be terminated, which may require us to obtain additional capital to pursue further development or commercialization of the applicable product candidates or technologies;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not achieve the revenue, specific net income, or other anticipated benefits that justify our having entered into, or otherwise led us to enter into, the collaboration.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our strategic collaborations do not result in the successful development and commercialization of product candidates, or if one of our collaborators terminates its agreement with us, we may not receive any future research funding or milestone, royalty, or other payments under the collaboration. Moreover, our initial estimates of the potential revenue we are eligible to receive under our strategic collaborations may include potential payments related to therapeutic programs for which our collaborators may discontinue development. If we are unable to enter into strategic collaborations, or if any of the other events described in this Risk Factor occur after we enter into a collaboration, we may have to curtail the development of a particular product candidate, reduce the scope of or delay the development program for such product candidate or one or more of our other product candidates, delay its potential commercialization or reduce the scope of our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will not be able to bring our product candidates to market and generate product revenue.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Our ability to develop our cell engineering platforms and product candidates and our future growth depend on retaining our key personnel and recruiting additional qualified personnel.</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Our success depends upon the continued contributions of our key management, scientific, and technical personnel, many of whom have been instrumental for us and have substantial experience with our cell engineering platforms and their underlying technologies and related product candidates. Given the specialized nature of our </w:t>
      </w:r>
      <w:r>
        <w:rPr>
          <w:rFonts w:ascii="Times New Roman" w:hAnsi="Times New Roman"/>
          <w:i/>
          <w:color w:val="000000"/>
          <w:sz w:val="20"/>
        </w:rPr>
        <w:t>ex vivo</w:t>
      </w:r>
      <w:r>
        <w:rPr>
          <w:rFonts w:ascii="Times New Roman" w:hAnsi="Times New Roman"/>
          <w:color w:val="000000"/>
          <w:sz w:val="20"/>
        </w:rPr>
        <w:t xml:space="preserve"> and </w:t>
      </w:r>
      <w:r>
        <w:rPr>
          <w:rFonts w:ascii="Times New Roman" w:hAnsi="Times New Roman"/>
          <w:i/>
          <w:color w:val="000000"/>
          <w:sz w:val="20"/>
        </w:rPr>
        <w:t>in vivo</w:t>
      </w:r>
      <w:r>
        <w:rPr>
          <w:rFonts w:ascii="Times New Roman" w:hAnsi="Times New Roman"/>
          <w:color w:val="000000"/>
          <w:sz w:val="20"/>
        </w:rPr>
        <w:t xml:space="preserve"> cell engineering technologies and the fact that we are operating in novel and emerging fields, there is an inherent scarcity of personnel with the requisite experience to fill the roles across our organization. As we continue developing our product candidates and building our pipeline, we will require personnel with medical, scientific, or technical qualifications and expertise specific to each program. The loss of key management and senior scientists or other personnel could delay or otherwise impact our research and development activities, for example, through loss of institutional knowledge, capabilities, or subject matter expertise. In addition, the loss of key executives could disrupt our operations and our ability to conduct our business. Despite our efforts to retain valuable employees, all of our employees are at-will employees, and members of our management, scientific, and development teams may terminate their employment with us at any time, with or without notice. Moreover, regulations or legislation impacting our workforce, and any legal challenges thereto, may lead to increased uncertainty in hiring and competition for talent, and harm our ability to protect our company, including our intellectual property, after termination of employment. If our retention efforts are unsuccessful now or in the future, it may be difficult for us to implement our business strategy, which could have a material adverse effect on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 certain of our key personnel continue to be employed by academic institutions. We may in the future have other personnel that have similar arrangements. These arrangements expose us to the risk that these individuals may return to their academic positions full-time, devote less of their time or attention to us than is optimal, or potentially expose us to claims of intellectual property ownership or co-ownership by their respective academic institutions.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competition for qualified personnel in the biotechnology and pharmaceutical industries is intense, and our future success depends upon our ability to attract, retain, and motivate highly skilled employees, including executives, scientists, engineers, clinical operations and manufacturing personnel, and sales professionals. We expect that we may continue to face competition for personnel from other companies, universities, public and private research institutions, and other organizations. We have from time to time experienced, and we expect to continue to experience, difficulty in hiring and retaining qualified employees on acceptable terms, or at all. For example, the United States government has announced changes to the H-1B visa program, including a new one-time $100,000 fee for new H-1B petitions, and plans to take further steps to reform the H-1B program. These or other changes to the H-1B program or the requirements for other visas could increase our costs, limit the flow of technical and professional talent into the United States, or otherwise harm our ability to recruit and retain qualified personnel who are critical to our business. In addition, many of the companies with which we compete for experienced personnel may have greater resources than we do and may be able to provide prospective job candidates or our existing employees with more attractive roles, salaries, or benefits than we can provide. If we hire employees from competitors or other companies, their former employers may attempt to assert that these employees or we have breached legal obligations, including non-solicitation or non-compete obligations, which may result in a diversion of our time and resources and, potentially, damages. In addition, job candidates and existing employees often consider the value of the stock awards they receive in connection with their employment. If the perceived benefits of our stock awards decline or are otherwise viewed unfavorably compared to those of companies with which we compete for talent, or if we or our prospects are otherwise viewed unfavorably, this could negatively impact our ability to recruit, motivate, and retain highly skilled employees.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November 2025, we conducted a portfolio prioritization to prioritize development of our SC451 and SG293 programs, and suspended development of and further internal investment in our two allogeneic cell therapy CAR T programs – SC291 in B-cell mediated autoimmune diseases and SC262 in oncology. Further, we previously conducted several portfolio prioritizations pursuant to which we implemented reductions in our workforce. Portfolio prioritizations and any associated reductions in our workforce may result in attrition beyond any planned reduction in workforce, reduced employee morale, and negative publicity, which may damage our reputation and make it more difficult for us to retain and motivate our current personnel as well as attract new personnel. These workforce reductions have also caused us to lose institutional knowledge, capabilities, and subject matter expertise and could negatively affect our efforts to obtain and maintain our intellectual property rights in the event we are unable to identify inventions made or identify or recreate the necessary scientific records or data. Any of the foregoing could significantly harm our business and future growth prospects.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Though many of our personnel have significant experience with respect to manufacturing biopharmaceutical products, we, as a company, do not have experience maintaining a manufacturing facility. For any manufacturing facility that we may develop or maintain, we cannot guarantee that we will be able to maintain a compliant facility and manufacture our product candidates as intended, given the complexity of manufacturing novel therapeutics. If we fail to successfully operate any facility we may develop or are unable to manufacture a sufficient and compliant supply of our product candidates to meet our needs, our clinical trials and the commercial viability of our product candidates could be adversely affected.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manufacture of biopharmaceutical products is complex and requires significant expertise, including the development of advanced manufacturing techniques and process controls. Manufacturers of cell and gene therapy products often encounter difficulties in production, particularly in scaling up, scaling out, validating initial production, ensuring product quality and the absence of contamination, and ensuring process robustness after initial production. These include difficulties with production costs and yields, quality control, including stability of the product, quality assurance testing, operator error, and shortages of qualified personnel, as well as compliance with strictly enforced federal, state, and foreign regulations. As a result of the complexities involved in biopharmaceutical manufacturing, the cost to manufacture biologics is generally higher than traditional small molecule chemical compounds and the manufacturing process is less reliable and more difficult to reproduce, and this is particularly true with respect to our product candidates. The application of new regulatory guidelines or parameters, such as those related to control strategy testing, may also adversely affect our ability to manufacture our product candidates in a compliant and cost-effective manner or at all. Any of the foregoing could lead to delays in or an inability to successfully manufacture our product candidates at the scale required for the development and potential commercialization of our product candidates.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We have invested in building world class capabilities in key areas of manufacturing sciences, operations, and quality, including development of our cell engineering platforms, product characterization, and process analytics. Our investments also include scaled research solutions, scaled infrastructure, and novel technologies to improve efficiency, characterization, quality, and scalability of manufacturing. However, we have limited experience in managing the manufacturing processes necessary for making cell and gene therapies. We cannot be sure that the manufacturing processes that we use, or the technologies that we incorporate into these processes, will result in viable or scalable yields of </w:t>
      </w:r>
      <w:r>
        <w:rPr>
          <w:rFonts w:ascii="Times New Roman" w:hAnsi="Times New Roman"/>
          <w:i/>
          <w:color w:val="000000"/>
          <w:sz w:val="20"/>
        </w:rPr>
        <w:t>ex vivo</w:t>
      </w:r>
      <w:r>
        <w:rPr>
          <w:rFonts w:ascii="Times New Roman" w:hAnsi="Times New Roman"/>
          <w:color w:val="000000"/>
          <w:sz w:val="20"/>
        </w:rPr>
        <w:t xml:space="preserve"> and </w:t>
      </w:r>
      <w:r>
        <w:rPr>
          <w:rFonts w:ascii="Times New Roman" w:hAnsi="Times New Roman"/>
          <w:i/>
          <w:color w:val="000000"/>
          <w:sz w:val="20"/>
        </w:rPr>
        <w:t>in vivo</w:t>
      </w:r>
      <w:r>
        <w:rPr>
          <w:rFonts w:ascii="Times New Roman" w:hAnsi="Times New Roman"/>
          <w:color w:val="000000"/>
          <w:sz w:val="20"/>
        </w:rPr>
        <w:t xml:space="preserve"> cell engineering product candidates that will have acceptable safety, purity, and potency, or efficacy, profiles and meet market demand.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Designing and building out a current good manufacturing practices (cGMP) facility are time-consuming and require significant resources, which may require reallocation of certain existing financial, human, and other resources, including the time and attention of senior management. In addition, given the volatility in the costs of building materials, as well as the impact of rising rates of inflation in recent years and which may occur in the future, building out manufacturing capabilities may be more expensive than we expect. We have limited experience as a company in developing internal manufacturing capabilities, and we may experience unexpected costs or delays or be unsuccessful in developing internal manufacturing capabilities in accordance with our timelines or at all. Building out a manufacturing facility requires engagement of third-party service providers and procurement of equipment and third-party technology necessary for manufacturing activities, and agreements with such third parties or access to necessary technologies may not be available on commercially reasonable terms or at all. Moreover, there is no guarantee that the space that we may lease to develop a manufacturing facility would not change ownership over the term of the lease or be subject to additional zoning or other restrictions, and that, in such an event, we would be able to continue to build or operate the facility without restriction or further delay or cost.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operating a manufacturing facility may require us to hire and retain experienced scientific, quality control, quality assurance, and manufacturing personnel. As described elsewhere in these Risk Factors, this may be difficult given the intense competition for qualified personnel in the biotechnology and pharmaceutical industries.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currently rely, and expect we will continue to rely, on CDMOs to manufacture our product candidates for clinical trials. For any manufacturing facility we may develop, it may take us longer to establish and operationalize such facility than we originally anticipated, which could delay our ability to begin manufacturing certain of our product candidates internally, extend the period of time during which we must solely rely on CDMOs for the manufacture of such product candidates, and delay our clinical development timelines.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order to begin manufacturing activities at any manufacturing facility that we may operate, we may be required to transfer manufacturing processes and know-how for certain of our product candidates from our other facilities or our CDMOs to such facility. To date, we and our CDMOs have limited experience in the technology transfer of manufacturing processes. Transferring manufacturing processes and know-how is complex and involves review and incorporation of both documented and undocumented processes that may have evolved over time. In addition, transferring production to any facility we may operate may require utilization of new or different processes to meet our facility requirements. Additional studies may also need to be conducted to support the transfer of certain manufacturing processes and process improvements. We will not know with certainty whether all relevant know-how and data have been adequately incorporated into the manufacturing process being conducted at our facilities until the completion of studies and evaluations intended to demonstrate the comparability of material previously produced by our CDMOs with that generated by our facilities. Similar risks and considerations apply to the initial technology transfer from us to our CDMOs for manufacturing of preclinical and clinical supply, as well as between CDMOs in the event we are required to switch to a new CDMO.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Operating a manufacturing facility will require us to comply with complex regulations. Moreover, any future commercial manufacturing facilities we may operate will require FDA or comparable foreign regulatory authority approval, which we may not obtain in time to support registration-enabling clinical trials for our product candidates, if at all. Even if approved, we would be subject to ongoing periodic unannounced inspections by the FDA, the Drug Enforcement Administration, corresponding state agencies, and comparable foreign regulatory authorities to ensure strict compliance with cGMP, current good tissue practices (cGTPs), and other government regulations. We may be unable to manufacture our product candidates if we fail to meet regulatory requirements and may be unable to scale up or scale out our manufacturing to meet market demand. Any failure or delay in the development of our manufacturing capabilities could adversely impact the development and potential commercialization of our product candidates.</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encounter difficulties in managing our growth if and as we expand our operations, including our development and regulatory capabilities, which could disrupt our operations and otherwise harm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experienced rapid growth following our inception in July 2018. However, as described elsewhere in these Risk Factors, we undertook workforce reductions as part of our past restructurings, and in November 2025, conducted a portfolio prioritization to prioritize development of our SC451 and SG293 programs and suspended development of and further internal investment in our two allogeneic cell therapy CAR T programs. These events may yield unintended consequences and costs, including difficulty retaining and motivating remaining employees, difficulty attracting and hiring qualified employees, and increased reliance on third parties if needed to support our internal capabilities.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Despite our workforce reductions, if we have success in our future clinical trials and expand our research and development efforts, we may experience future growth in the scope of our operations, particularly if and as we advance our product candidates into and through IND-enabling studies and clinical trials and continue to establish and develop our regulatory, quality, and clinical operations and supply chain logistics and manufacturing. To manage our growth, we have implemented and improved, and plan to continue to implement and improve, our managerial, operational, and financial systems, and continue to recruit and train additional qualified personnel if and as we grow. However, due to our limited financial resources and the complexity of managing a growing company, we may not be able to effectively manage the expansion of our operations or recruit and train sufficient additional qualified personnel to achieve our business objectives within our desired timelines. The continued expansion of our operations will be costly and may divert our management and business development resources. For example, members of management will have significant added responsibilities in connection with effecting and managing our growth, including identifying, recruiting, integrating, maintaining, and motivating current and future employees, effectively managing our internal development efforts, including the clinical and regulatory (e.g., FDA) review process, while complying with our contractual obligations to third parties, and maintaining and improving our operational, financial, and management controls, reporting systems, and procedures. In addition, as we grow, we may be required to rely more heavily on third-party service providers, which exposes us to risks to which we would not be subject if we performed all work internally, as described elsewhere in these Risk Factors. Our inability to successfully manage our growth could disrupt our operations and otherwise harm our business, including by delaying execution of our programs and business plans.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expend our limited resources to pursue a particular product candidate or indication and fail to capitalize on product candidates or indications that may be more profitable or for which there is a greater likelihood of success.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Because we have limited financial and managerial resources, we focus on research programs, therapeutic platforms, and product candidates that we identify for specific indications. Additionally, we have contractual commitments under certain of our agreements to use commercially reasonable efforts to develop certain programs and, thus, do not have unilateral discretion to vary from such efforts. In addition, we have contractual commitments to conduct certain development plans, and thus may not have discretion to modify such development plans, including clinical trial designs, without agreement from our partners. As a result, we may forego or delay pursuit of opportunities with other therapeutic platforms or product candidates or for other indications that later prove to have greater commercial potential. Our resource allocation decisions may cause us to fail to capitalize on viable commercial products or profitable market opportunities. Additionally, we have been and may continue to be required to limit our investment of resources to certain programs in our portfolio that we believe have higher probabilities of success and, consequently, to reduce our investment in other potentially promising programs. Such decisions have required and would in the future require us to reduce the breadth and diversity of our product portfolio, which could potentially limit the long-term growth of our pipeline and subject us to greater risk that the failure of any such programs would harm our prospects. Our spending on current and future research and development programs, therapeutic platforms, and product candidates for specific indications may not yield any commercially viable products. If we do not accurately evaluate the commercial potential or target market for a particular product candidate or otherwise decide to cease development of a product candidate, we may relinquish valuable rights to that product candidate through collaboration, licensing, royalty, or other arrangements in cases in which it would have been more advantageous for us to retain sole development and commercialization rights. </w:t>
      </w:r>
    </w:p>
    <w:p>
      <w:pPr>
        <w:pStyle w:val="TextBody"/>
        <w:bidi w:val="0"/>
        <w:spacing w:before="360" w:after="283"/>
        <w:jc w:val="left"/>
        <w:rPr>
          <w:rFonts w:ascii="Times New Roman" w:hAnsi="Times New Roman"/>
          <w:sz w:val="20"/>
        </w:rPr>
      </w:pPr>
      <w:r>
        <w:rPr>
          <w:rFonts w:ascii="Times New Roman" w:hAnsi="Times New Roman"/>
          <w:b/>
          <w:i/>
          <w:color w:val="000000"/>
          <w:sz w:val="20"/>
        </w:rPr>
        <w:t>The use of human stem cells exposes us to a number of risks in the development of our human stem cell-derived products, including inability to obtain suitable donor material from eligible and qualified human donors, restrictions on the use of human stem cells, as well as the ethical, legal, and social implications of research on the use of stem cells, any of which could prevent us from completing the development of or commercializing and gaining acceptance for our human stem cell-derived products.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We use human stem cells in our research and development, including induced PSCs (iPSCs) and embryonic stem cells (ESCs), and one or more of our </w:t>
      </w:r>
      <w:r>
        <w:rPr>
          <w:rFonts w:ascii="Times New Roman" w:hAnsi="Times New Roman"/>
          <w:i/>
          <w:color w:val="000000"/>
          <w:sz w:val="20"/>
        </w:rPr>
        <w:t>ex vivo</w:t>
      </w:r>
      <w:r>
        <w:rPr>
          <w:rFonts w:ascii="Times New Roman" w:hAnsi="Times New Roman"/>
          <w:color w:val="000000"/>
          <w:sz w:val="20"/>
        </w:rPr>
        <w:t xml:space="preserve"> cell engineering product candidates may be derived from human stem cells. The use of such cells in our research, or as starting cell lines in the manufacture of one or more of our product candidates, exposes us to numerous risks. These risks include difficulties in securing viable, appropriate, and sufficient stem cells as starting material, recruiting patients for our clinical trials, as well as managing a multitude of global legal and regulatory restrictions on the sourcing and use of these cells. For example, to the extent regulatory requirements differ across jurisdictions, we may face increased difficulty finding cells that meet all applicable jurisdictional requirements, or may be required to develop our product candidates using multiple different types of cells, which could increase the complexity and cost of development. In addition, certain cells may be subject to restrictions regarding the patient populations in which the resulting products can be used, which could limit the applicability and value of our product candidates. Further, in some states, use of embryonic tissue as a source of stem cells is prohibited and many research institutions have adopted policies regarding the ethical use of human embryonic tissue. If these regulations, policies, or restrictions have the effect of limiting the scope of research or other activities we can conduct using stem cells, our ability to develop our </w:t>
      </w:r>
      <w:r>
        <w:rPr>
          <w:rFonts w:ascii="Times New Roman" w:hAnsi="Times New Roman"/>
          <w:i/>
          <w:color w:val="000000"/>
          <w:sz w:val="20"/>
        </w:rPr>
        <w:t>ex vivo</w:t>
      </w:r>
      <w:r>
        <w:rPr>
          <w:rFonts w:ascii="Times New Roman" w:hAnsi="Times New Roman"/>
          <w:color w:val="000000"/>
          <w:sz w:val="20"/>
        </w:rPr>
        <w:t xml:space="preserve"> cell engineering product candidates may be significantly impaired, which could have a material adverse effect on our business.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Additionally, the use of stem cells generally, and ESCs, in particular, has social, legal, and ethical implications. Certain political and religious groups continue to voice opposition to the use of human stem cells in drug research, development, and manufacturing. Adverse publicity due to ethical and social controversies surrounding the use of stem cells could lead to negative public opinion, difficulties enrolling patients in our clinical trials, increased regulation, and stricter policies regarding the use of such cells, which could harm our business and may limit market acceptance of any of our product candidates that may receive regulatory approval. In addition, clinical experience with stem cells, including iPSCs and ESCs, is limited. We are not aware of any products utilizing iPSCs or ESCs as a starting material that have received marketing approval from the FDA or a comparable foreign regulatory authority. Therefore, patients in our clinical trials may experience unexpected side effects, and we may experience unexpected regulatory delays prior to or, if approval were to be granted, after regulatory approval.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Furthermore, manufacturing and development of our stem cell-derived product candidates will require that we obtain suitable donor material from eligible and qualified human donors. If we are unable to obtain sufficient quantities of suitable donor material, or if we are unable to obtain such material in a timely manner, we may experience delays in manufacturing such product candidates, which would harm our ability to conduct clinical trials for or to commercialize these product candidates. Moreover, if the consent, authorization, or process for the donation and use of those materials is not obtained or conducted in accordance with applicable legal, ethical, and regulatory requirements, we could face delays in the clinical testing and approval of these product candidates, or, potentially, we could face claims by such human donors or regulatory authorities, which could expose us to damages and reputational harm.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Negative public opinion and increased regulatory scrutiny of research and therapies involving gene editing or other ex vivo or in vivo cell engineering technologies may damage public perception of our product candidates or adversely affect our ability to conduct our business or obtain regulatory approvals for our product candidates.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Certain aspects of our cell engineering platforms rely on the ability to modify the genome, including by editing genes. Public perception may be influenced by claims that genome modification is unsafe, and products using or incorporating genome modification may not gain the acceptance of the public or the medical community. Similarly, general perceptions of products relying on </w:t>
      </w:r>
      <w:r>
        <w:rPr>
          <w:rFonts w:ascii="Times New Roman" w:hAnsi="Times New Roman"/>
          <w:i/>
          <w:color w:val="000000"/>
          <w:sz w:val="20"/>
        </w:rPr>
        <w:t>ex vivo</w:t>
      </w:r>
      <w:r>
        <w:rPr>
          <w:rFonts w:ascii="Times New Roman" w:hAnsi="Times New Roman"/>
          <w:color w:val="000000"/>
          <w:sz w:val="20"/>
        </w:rPr>
        <w:t xml:space="preserve"> or </w:t>
      </w:r>
      <w:r>
        <w:rPr>
          <w:rFonts w:ascii="Times New Roman" w:hAnsi="Times New Roman"/>
          <w:i/>
          <w:color w:val="000000"/>
          <w:sz w:val="20"/>
        </w:rPr>
        <w:t>in vivo</w:t>
      </w:r>
      <w:r>
        <w:rPr>
          <w:rFonts w:ascii="Times New Roman" w:hAnsi="Times New Roman"/>
          <w:color w:val="000000"/>
          <w:sz w:val="20"/>
        </w:rPr>
        <w:t xml:space="preserve"> cell engineering techniques may be impacted by developments within the research community as well as across the pharmaceutical and biotechnology industries, including those affecting or related to other companies, including those developing products that are similar or within adjacent fields or that are being developed in the same indications. Negative perceptions of genome modification, including gene editing, or of cell or gene therapy products generally, may result in fewer physicians being willing to enroll patients into clinical trials of our product candidates or prescribing our treatments, reduce the willingness of patients to participate in clinical trials of our product candidates or use our treatments, or otherwise negatively impact the development of our product candidates.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In addition, given the novel nature of </w:t>
      </w:r>
      <w:r>
        <w:rPr>
          <w:rFonts w:ascii="Times New Roman" w:hAnsi="Times New Roman"/>
          <w:i/>
          <w:color w:val="000000"/>
          <w:sz w:val="20"/>
        </w:rPr>
        <w:t>ex vivo</w:t>
      </w:r>
      <w:r>
        <w:rPr>
          <w:rFonts w:ascii="Times New Roman" w:hAnsi="Times New Roman"/>
          <w:color w:val="000000"/>
          <w:sz w:val="20"/>
        </w:rPr>
        <w:t xml:space="preserve"> and </w:t>
      </w:r>
      <w:r>
        <w:rPr>
          <w:rFonts w:ascii="Times New Roman" w:hAnsi="Times New Roman"/>
          <w:i/>
          <w:color w:val="000000"/>
          <w:sz w:val="20"/>
        </w:rPr>
        <w:t>in vivo</w:t>
      </w:r>
      <w:r>
        <w:rPr>
          <w:rFonts w:ascii="Times New Roman" w:hAnsi="Times New Roman"/>
          <w:color w:val="000000"/>
          <w:sz w:val="20"/>
        </w:rPr>
        <w:t xml:space="preserve"> cell engineering technologies, governments may impose import, export, or other restrictions in order to retain control or limit the use of such technologies. Further, in order to further understand the risks of novel genome modification technologies, regulatory authorities may require us to provide additional data prior to allowing clinical testing or commercialization of product candidates that use such technologies, which may cause us to incur additional costs and delay our development plans for certain of our product candidates. Increased scrutiny, negative public opinion, more restrictive government regulations, or enhanced governmental requirements, either in the United States or internationally, would have a negative effect on our business or financial condition and may delay or impair the development and commercialization of our product candidates or demand for such product candidates.</w:t>
      </w:r>
    </w:p>
    <w:p>
      <w:pPr>
        <w:pStyle w:val="TextBody"/>
        <w:bidi w:val="0"/>
        <w:spacing w:before="360" w:after="283"/>
        <w:jc w:val="left"/>
        <w:rPr>
          <w:rFonts w:ascii="Times New Roman" w:hAnsi="Times New Roman"/>
          <w:sz w:val="20"/>
        </w:rPr>
      </w:pPr>
      <w:r>
        <w:rPr>
          <w:rFonts w:ascii="Times New Roman" w:hAnsi="Times New Roman"/>
          <w:b/>
          <w:color w:val="000000"/>
          <w:sz w:val="20"/>
        </w:rPr>
        <w:t>Risks Related to the Development and Clinical Testing of Our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We must successfully progress our product candidates through extensive preclinical studies and clinical trials in order to obtain regulatory approval to market and sell such product candidates. Even if we obtain positive results in preclinical studies or clinical trials of a product candidate, these results may not be predictive of the results of future preclinical studies or clinical trials.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Before an IND or comparable foreign submission can be submitted to the FDA or a comparable foreign regulatory authority and be cleared or otherwise become effective, which is a prerequisite for conducting clinical trials on human subjects, a product candidate must successfully progress through extensive preclinical studies, which includes preclinical laboratory testing, animal studies, and formulation studies conducted in accordance with good laboratory practices. In addition, to obtain the requisite regulatory approvals to ultimately market and sell any of our product candidates, we or any future collaborator for such product candidate must satisfy the FDA’s or a comparable foreign regulatory authority’s legal standards with respect to safety, purity, and potency, or efficacy, which may include, among other things, demonstrating through adequate and well-controlled clinical trials that the benefits of the product candidate outweigh its known risks for the intended patient population.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Preclinical and clinical testing is inherently unpredictable. We may obtain positive data from early research or preclinical studies involving our product candidates and technologies, but subsequently encounter unexpected or unexplained results in later preclinical or clinical studies, including due to factors unrelated to our product candidates and technologies, that may cause the relevant product candidates or technologies to be unsuitable for further development. We may also need to perform additional research and preclinical or clinical studies for various reasons, including to determine the cause of any unexpected results, including whether such results were caused by our product candidates or technologies or other factors. Any of the foregoing could delay our development timelines or prevent us from continuing further development at all.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Even if we obtain positive results from preclinical or clinical studies of our product candidates or technologies, success in preclinical or clinical studies does not ensure that later preclinical studies or clinical trials will be successful. A number of biotechnology and pharmaceutical companies have suffered significant setbacks in clinical trials, even after positive results in earlier preclinical or clinical studies, such as adverse findings observed while clinical trials were underway or safety or efficacy observations during clinical trials, including previously unreported adverse events, and we cannot be certain that we will not face similar setbacks. The design of a clinical trial can determine whether its results have the potential to support approval of a product, and flaws in a clinical trial’s design may not become apparent until the clinical trial is well advanced. In addition, the results of our preclinical animal studies, including our non-human primate (NHP) studies, may not be predictive of the results of subsequent clinical trials involving human subjects. Product candidates may fail to show the desired pharmacological properties or safety and efficacy traits in clinical trials despite having successfully progressed through preclinical studies or earlier clinical trials.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we fail to obtain positive results in preclinical studies or clinical trials involving any of our product candidates or technologies, the development timeline and regulatory approval and commercialization prospects for any relevant product candidate, and, correspondingly, our business and financial prospects, would be negatively impacted. </w:t>
      </w:r>
    </w:p>
    <w:p>
      <w:pPr>
        <w:pStyle w:val="TextBody"/>
        <w:bidi w:val="0"/>
        <w:spacing w:before="360" w:after="283"/>
        <w:jc w:val="left"/>
        <w:rPr>
          <w:rFonts w:ascii="Times New Roman" w:hAnsi="Times New Roman"/>
          <w:sz w:val="20"/>
        </w:rPr>
      </w:pPr>
      <w:r>
        <w:rPr>
          <w:rFonts w:ascii="Times New Roman" w:hAnsi="Times New Roman"/>
          <w:b/>
          <w:i/>
          <w:color w:val="000000"/>
          <w:sz w:val="20"/>
        </w:rPr>
        <w:t>Preclinical testing of our product candidates may be delayed or otherwise unsuccessful, which would harm our ability to commence and successfully complete clinical trials of, and ultimately commercialize, such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Applicable laws and regulations require us to conduct preclinical testing of our product candidates in animals before initiating clinical trials involving humans, and the results and timing of such testing are uncertain. We may experience delays in or difficulty completing studies of our product candidates in animals for various reasons. For example, due to global supply chain issues caused by global geo-political, economic, and other factors beyond our control, as described elsewhere in these Risk Factors, we have experienced and may continue to experience difficulty and increased costs in accessing animal models, specifically certain NHP models, which could delay completion of our preclinical studies involving such models or harm our ability to conduct or complete such studies at all, and could limit the potential patient population for our product candidates.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animal testing has been the subject of controversy and adverse publicity. Animal rights groups and others have attempted to stop animal testing by pressing for legislation and regulation and by disrupting such testing through protests and other means. To the extent these attempts are successful, our research and development activities may be interrupted or delayed, become more expensive, or both.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required to submit an IND or comparable foreign submission to the FDA or comparable foreign regulatory authorities with respect to each product candidate prior to commencing a clinical trial for such product candidate in the applicable jurisdiction. Although we plan to submit INDs for each of our current and future product candidates, we may not be able to submit future INDs in accordance with our expected timelines for various reasons, including due to: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manufacturing challenges or delays, including due to challenges associated with scaling up our manufacturing processes and developing and validating assays or otherwise meeting applicable regulatory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in our IND-enabling preclinical studies; 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feedback from the FDA or comparable foreign regulatory authorities that requires us to conduct additional testing or change the design of a planned clinical trial prior to submitting such IND or comparable foreign submission.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Moreover, we cannot guarantee that submission of an IND or comparable foreign submission for a product candidate will result in the FDA or comparable foreign regulatory authorities allowing clinical trials of that product candidate to commence in accordance with our timelines or expectations or at all, including, for example, due to delays in review or approval timelines caused by disruptions and other factors impacting the FDA or comparable foreign regulatory authorities, or that, once begun, issues will not arise that require suspension or termination of such clinical trials. For example, the FDA or a comparable foreign regulatory authority may accept an IND or comparable foreign submission for a product candidate but place clinical trials of such product candidate on hold pending the results of additional testing or the development of additional assays, or may otherwise refuse or terminate the applicable submission. Further, because legal and regulatory requirements for conducting clinical trials vary across jurisdictions, our receipt of authorization to conduct clinical trials in one jurisdiction does not guarantee such authorization will be granted in other jurisdictions.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such legal and regulatory requirements may change over time, including in a manner that could cause us to incur delays or additional expense in order to comply. For example, the regulatory landscape related to clinical trials in the European Union (EU) continues to evolve. The EU Clinical Trials Regulation (CTR), which was adopted in April 2014 and repealed the EU Clinical Trials Directive, became applicable on January 31, 2022. Unlike the EU Clinical Trials Directive, which required a separate clinical trial application (CTA) to be submitted to both the competent national health authority and an independent ethics committee in each EU member state in which the clinical trial will be conducted, the CTR provides for a centralized process via the Clinical Trials Information System (CTIS). The CTR allows sponsors for multi-center trials to make a single submission and obtain authorizations in multiple jurisdictions. The system routes information to all concerned member states at once, and member states then coordinate their review of the dossier in a joint assessment, with a separate assessment by each member state with respect to specific requirements related to its own territory, including ethics rules. Typically, one country is appointed rapporteur (lead assessor) with others as co-rapporteurs, producing a single assessment report for all and a harmonized decision. Once the CTA is approved, clinical studies may proceed. Following a three-year transition period, effective January 31, 2025, any trials approved under the Clinical Trials Directive that continue running must comply with the CTR, and their sponsors must enter information regarding the trials in the CTIS. Compliance with the CTR requirements by us and our service providers, such as CROs, may impact our development plans. For example, because the CTR requires coordination of application review and processing across multiple member states, our ability to commence clinical trials in accordance with our timelines could be delayed. Further, the United Kingdom (UK) withdrew from the EU in 2020, and uncertainty remains as to whether and to what extent certain UK laws and regulations will be aligned with those of the EU, including the CTR, which does not apply in the UK. Local requirements in the UK and the EU have diverged and may further diverge in the future, which could impact any UK clinical and development activities we may conduct. For example, significant updates to the UK clinical trials regulations came into force in April 2026. In addition, clinical trial submissions in the UK must be separate from those submitted to EU member states, adding further complexity, cost, and potential risk to any clinical and development activity in the UK.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we are unable to satisfy applicable legal or regulatory requirements or standards for an IND or comparable foreign submission, or experience delays in doing so, clinical development of our product candidates may be delayed or we may be unable to execute clinical trials of the applicable product candidate in the relevant jurisdiction. For example, we may decide not to submit an IND or comparable foreign submission in certain jurisdictions due to applicable legal or regulatory requirements in such jurisdiction, including based on future changes to such requirements. Additionally, even if regulatory authorities agree with the design and implementation of the clinical trials set forth in an IND or a comparable foreign submission, we cannot guarantee that such regulatory authorities will not change their requirements in the future, which could require us to make costly changes to and delay the conduct of our clinical trials or require suspension or termination of such trials entirely. In addition, because the manufacturing of our product candidates is in its early stages and continues to evolve, we expect that manufacturing-related matters such as chemistry, manufacturing, and controls, including product specifications, will continue to be a focus of regulatory review of our INDs or comparable foreign submissions, which may delay or prevent our ability to proceed with the relevant clinical trials. These considerations also apply to new clinical trials we may submit as amendments to existing INDs or comparable foreign submissions. </w:t>
      </w:r>
    </w:p>
    <w:p>
      <w:pPr>
        <w:pStyle w:val="TextBody"/>
        <w:bidi w:val="0"/>
        <w:spacing w:before="360" w:after="283"/>
        <w:jc w:val="left"/>
        <w:rPr>
          <w:rFonts w:ascii="Times New Roman" w:hAnsi="Times New Roman"/>
          <w:sz w:val="20"/>
        </w:rPr>
      </w:pPr>
      <w:r>
        <w:rPr>
          <w:rFonts w:ascii="Times New Roman" w:hAnsi="Times New Roman"/>
          <w:b/>
          <w:i/>
          <w:color w:val="000000"/>
          <w:sz w:val="20"/>
        </w:rPr>
        <w:t>Clinical drug development is a lengthy and expensive process with uncertain timelines and outcomes. If clinical trials of any of our product candidates are prolonged or delayed, or need to be terminated, we may be unable to obtain required regulatory approvals and commercialize such product candidates on a timely basis or at all.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Clinical trials are expensive, complex, and can take many years to complete, and their outcomes are inherently uncertain and their data subject to varying interpretations and analyses. Product candidates in later-stage clinical trials may fail to produce the same results as observed in earlier trials or fail to show the desired safety and efficacy characteristics despite having progressed through preclinical studies and earlier clinical trials.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do not know whether any clinical trials we may conduct will begin on time, need to be redesigned, enroll patients on time, or be completed on schedule, if at all. Clinical trials may be delayed, suspended, or terminated, or may not be able to be conducted at all, for a variety of reasons, including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in or failure to obtain regulatory authorization to commence a trial;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in or failure to obtain institutional review board (IRB) or ethics committee (EC) approval for each clinical trial site;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in or failure to reach agreement with prospective CROs and other service providers, clinical trial sites, or companion diagnostic development partners on acceptable terms, or at all;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difficulty in recruiting clinical trial investigators or clinical trial sites of appropriate competencies and experience, including due to pre-existing commitments or resource and other infrastructure constraints, including resource allocation to other clinical trials, such as those of our competitors;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in or inability to timely manufacture sufficient quantities of a product candidate for use in clinical trials;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failure of a product candidate to meet acceptable quality or stability standards, or failure to manufacture product candidates in accordance with cGMP and other applicable laws, regulations, and guidelines;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challenges related to the delivery, handling, and administration of product candidates at clinical trial sites;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in establishing the appropriate dosage levels in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in or inability to recruit, enroll, and retain suitable patients in a trial, as discussed elsewhere in these Risk Factors;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failure of patients to complete a trial or return for post-treatment follow-up;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difficulty in identifying the sub-populations that are the target group for a particular trial, which may delay enrollment and reduce the power of a clinical trial to detect statistically significant results;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clinical sites deviating from trial protocol or dropping out of a trial;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caused by the addition of new investigators or clinical trial sites or replacement of existing investigators or sites;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safety, efficacy, or other concerns arising out of clinical trials involving our product candidates or technologies, including clinical trials we conduct ourselves or those sponsored or initiated by investigators (ISTs);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events arising during the course of a clinical trial, such as safety or tolerability concerns relating to the relevant product candidate, that could cause us or governmental authorities, as applicable, to suspend or terminate a clinical trial or program or impose a clinical hold, including if participants are being exposed to unacceptable health or safety risks or experiencing undesirable side effects or other adverse events, there are other unfavorable characteristics of the product candidate, or regulators deem our product candidate to have the potential for comparable undesirable side effects or risks to those of other product candidates, including those under development by us or third parties, due to compositional, biologic, mechanistic, sourcing, or other similarities;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failure of third-party contractors to comply with regulatory requirements or meet their contractual obligations in a timely manner or at all;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regulatory requirements, policies, and guidelines;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the treatment landscape for our target indications that may make it more difficult to initiate or recruit patients for our clinical trials in certain jurisdictions or may make our product candidates no longer relevant;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claims that the product candidate being tested infringes third-party intellectual property rights, including any resulting injunctions that may prevent further use of such product candidates and interfere with the progress of the trial;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business interruptions resulting from geo-political actions, including war and terrorism, natural disasters including earthquakes, typhoons, floods, and fires, or disease.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Clinical trials must be conducted in accordance with the FDA’s and comparable foreign regulatory authorities’ legal requirements, regulations, and guidelines and are subject to oversight by these governmental authorities and IRBs or ECs of the medical institutions where the clinical trials are conducted. We could encounter delays if a clinical trial is suspended or terminated by us, by the IRBs or ECs of the institutions at which such trial is being conducted, by the Data Review Committee or Data Safety Monitoring Board for such trial, or by the FDA or comparable foreign regulatory authorities. Such authorities may impose such a suspension or termination, including following an inspection of clinical trial operations or a clinical trial site, for various reasons, including failure to conduct the clinical trial in accordance with regulatory requirements or our clinical protocols, unforeseen safety issues or adverse side effects, failure to demonstrate a benefit from use of the product candidate being tested, or changes in governmental regulations or administrative actions.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the complexity and novelty of certain product candidates, the clinical trial design, and the indications for which such product candidates are being developed, as well as the combination of these factors, could negatively affect our ability to successfully execute and complete clinical trials of such product candidates in accordance with our timelines. For example, clinical trials of our product candidates may require specialized procedures, processes, or testing, which could be complex to implement and introduce variability across clinical trial sites. In addition, clinical trials involving certain indications, such as autoimmune diseases, may require the involvement and alignment of medical professionals across various specialties. Additionally, we may evaluate certain of our product candidates in multiple indications and across a broad range of diseases in a single clinical trial. Because these diseases can vary significantly, doing so may introduce additional complexities and challenges with executing our clinical trials, any of which could increase the time and expense required to commence and complete the applicable trial. Further, to the extent we develop our product candidates for multiple indications, the occurrence of any potential safety issues or significant side effects with respect to a particular indication or study could negatively affect the development of such product candidate in all indications. In addition, we cannot guarantee that any positive safety or other results we observe in a certain indication will also be observed in any other indication. We and third parties involved in our clinical trials may not have sufficient resources to adequately address such complexities in accordance with our timelines or at all. If we experience delays in completing, or are required to terminate, any clinical trial of our product candidates, the commercial prospects of the relevant product candidates will be harmed, and our ability to generate product revenues from these product candidates, if at all, will be delayed. In addition, any delays in completing or inability to complete our clinical trials will increase our costs and delay or jeopardize our ability to obtain regulatory approval for the relevant product candidate, commence product sales, and generate revenues. Significant clinical trial delays could also allow our competitors to bring products to market before we do or shorten any periods during which we have the exclusive right to commercialize our product candidates, which may impair our ability to commercialize our product candidates and harm our business and results of operations.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Furthermore, as described elsewhere in these Risk Factors, we have relied and will continue to rely on third parties that are responsible for executing or supporting our clinical trials, such as CROs and clinical trial sites, including principal investigators, and to the extent they fail to timely and properly perform their obligations, we may experience program delays, incur additional costs, or both, which may harm our business. In addition, we may experience delays and incur additional costs with respect to any clinical trials that we conduct in countries outside the United States, including as a result of increased shipment and distribution costs, compliance with additional or different regulatory requirements, and the engagement of non-United States-based CROs or other third parties, and may also be exposed to various other risks, including those associated with clinical investigators who are unknown to the FDA, transfers and use of data across jurisdictions, and different standards of diagnosis, screening, and medical care.</w:t>
      </w:r>
    </w:p>
    <w:p>
      <w:pPr>
        <w:pStyle w:val="TextBody"/>
        <w:bidi w:val="0"/>
        <w:spacing w:before="360" w:after="283"/>
        <w:jc w:val="left"/>
        <w:rPr>
          <w:rFonts w:ascii="Times New Roman" w:hAnsi="Times New Roman"/>
          <w:sz w:val="20"/>
        </w:rPr>
      </w:pPr>
      <w:r>
        <w:rPr>
          <w:rFonts w:ascii="Times New Roman" w:hAnsi="Times New Roman"/>
          <w:b/>
          <w:i/>
          <w:color w:val="000000"/>
          <w:sz w:val="20"/>
        </w:rPr>
        <w:t>We will depend on timely and successful enrollment and retention of patients in our clinical trials for our product candidates. If we experience delays or difficulties enrolling or retaining patients in our clinical trials, our research and development efforts and business, financial condition, and results of operations could be materially adversely affected.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Successful and timely initiation and completion of clinical trials will require that we timely enroll and retain a sufficient number of patients. Any clinical trials we conduct may be subject to delays for a variety of reasons, including as a result of patient enrollment taking longer than anticipated, patient withdrawal, or the occurrence of adverse events. These types of developments could cause us to delay the trial or halt further development of the relevant product candidate.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Patient enrollment and retention in clinical trials depend on many factors,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size and nature of the patient population;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severity of the disease under investigation, including patients’ prior lines of therapy and treatment;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eligibility and exclusion criteria for the trial;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number and location of clinical trial sites;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proximity of patients to clinical sites;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design of the clinical protocol;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ability to obtain and maintain patient consents;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competition with other sponsors or clinical trials for clinical trial sites or patients;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perceived risks and benefits of the product candidate under evaluation, including risks and benefits associated with other product candidates, including those under development by us or third parties, that may be perceived to be similar to our product candidates due to compositional, biologic, mechanistic, sourcing, or other similarities;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ability to recruit and availability of clinical trial investigators and sites with the appropriate competencies, experience, and resources;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risk that enrolled patients will drop out of the trial before administration of the product candidate or trial completion;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availability of patients resulting from the impact of any pandemic, epidemic, or disease outbreak;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availability of, and clinicians’ and patients’ satisfaction with, existing and new drugs approved for the indication the clinical trial is investigating;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clinicians’ and patients’ perceptions as to the potential advantages of the product candidate being studied in relation to other available therapies, including any new therapies that may be approved for the indications the clinical trial is investigating or the approved label expansion of an existing therapy into the indication the clinical trial is investigating.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particular, our clinical trials will compete with other clinical trials that are in the same therapeutic areas as our product candidates. In addition, because the number of qualified clinical investigators and clinical trial sites is limited, we expect to conduct at least some of our clinical trials at the same sites as those used by our competitors. Competition with other clinical trials may reduce the number and types of patients available to participate in our trials, as some patients who might have opted to enroll in our trials may instead opt to enroll in a trial being conducted by one of our competitors. Moreover, enrolling patients in clinical trials for diseases for which there is an approved standard of care is challenging, as patients will first receive the applicable standard of care, and many patients who respond positively to the standard of care do not enroll in clinical trials. In addition, although patients who fail to respond positively to the standard of care treatment may be eligible for clinical trials of our product candidates, treatment with prior regimens may render our product candidates less effective in clinical trials. As a result, the number of eligible patients who have the potential to benefit from our product candidates could be limited, which could extend development timelines or increase costs for our programs.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circumstances described above and elsewhere in these Risk Factors may make it difficult for us to enroll enough patients to complete our clinical trials in a timely and cost-effective manner. If we are unable to timely recruit and enroll patients for our clinical trials, enroll a sufficient number of patients to complete our clinical trials as planned, or retain patients in our clinical trials, we may be required to change our trial design, recruit and enroll a different population of patients than we anticipated, or recruit and enroll patients in geographies that are more challenging. We may not be fully prepared to address such challenges, and even if we are able to address such challenges, the results of our clinical trials may be negatively impacted. Delays in the completion of any clinical trial we may conduct will increase our costs, slow down the development and approval process, and delay or potentially jeopardize our ability to commence product sales and generate revenue for the relevant product candidate. In addition, some of the factors that may cause, or lead to, a delay in the commencement or completion of clinical trials may also ultimately lead to the denial of regulatory approval of our product candidates.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Clinical trials may fail to demonstrate that our product candidates, including any future product candidates, or technologies used in or used to develop such product candidates, meet the FDA’s or a comparable foreign regulatory authority’s requirements with respect to safety, purity, and potency, or efficacy, which would prevent, delay, or limit the scope of regulatory approval and commercialization of such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obtain the requisite regulatory approvals to market and sell any of our current or future product candidates, we or our potential future collaborators must demonstrate with substantial evidence from adequate and well-controlled clinical trials of the product candidate, and to the satisfaction of the FDA or comparable foreign regulatory authorities, that such product candidate meets the FDA’s or such comparable foreign regulatory authorities’ legal standards with respect to safety, purity, and potency, or efficacy, which may include, among other things, demonstrating through adequate and well-controlled clinical trials that the benefits of the product candidate outweigh its known risks for the intended patient population. Clinical testing is expensive and can take many years to complete, and its outcome is inherently uncertain. Failure can occur at any time during the clinical development process. Most product candidates that begin clinical trials are never approved by regulatory authorities for commercialization. We may be unable to establish clinical endpoints that applicable regulatory authorities would consider clinically meaningful.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Clinical trials of our product candidates or product candidates developed using our technologies (including those conducted by third parties, such as in the case of ISTs) may not demonstrate that such product candidates or technologies have efficacy and safety profiles necessary to support further development and regulatory approval. Safety or efficacy results for a particular clinical trial, or between different clinical trials of the same product candidate, can vary significantly due to numerous factors, including differences in the size and type of the patient populations, variety of patients and disease types within a trial, changes in, adherence to, and the level of consistency in the conduct of clinical trial protocols and trial procedures, and the rate of dropout among clinical trial participants. If the results of clinical trials are inconclusive with respect to the efficacy of our product candidates or those developed using our technologies, if we do not meet the clinical endpoints with statistical and clinically meaningful significance, or if there are safety concerns associated with our product candidates or technologies, we may experience delays in obtaining marketing approval, or we may not obtain approval at all. Additionally, any safety concerns observed in any clinical trial of one of our product candidates, or those developed using our technologies, in our targeted indications could limit the prospects for regulatory approval of such product candidate in those and other indications or the prospects of other product candidates we may develop that are perceived to have the potential for similar safety concerns.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Additionally, some of our trials may be open-label trials in which the patient and/or investigator know whether the patient is receiving the investigational product candidate. Data generated from open-label clinical trials may exaggerate any therapeutic effect, as patients and/or investigators are aware when a patient has received the experimental treatment, which may cause investigators to interpret the information of the treated group more favorably. Therefore, positive results observed in open-label trials may not be replicated in later controlled trials.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Even if we or our collaborators (or other third parties, in the case of ISTs) successfully complete any clinical trials, clinical data are often susceptible to varying interpretations and analyses. We cannot guarantee that the FDA or comparable foreign regulatory authorities will interpret the results as we do, and more trials could be required before we submit our product candidates for approval. Even if positive results are observed in clinical trials, we cannot guarantee that the FDA or comparable foreign regulatory authorities will view our product candidates as having efficacy. Further, the FDA or comparable foreign regulatory authorities may not agree with our manufacturing strategy or may not find comparability between our clinical trial product candidates and proposed commercial product candidates, which may result in regulatory delays or a need to perform additional clinical studies. Moreover, clinical trial results that may be acceptable to support approval of a certain scope in one jurisdiction may be deemed inadequate to support regulatory approval, or may only be deemed sufficient to support a narrower scope of approval, in other jurisdictions. If the FDA or comparable foreign regulatory authorities determine that the results of clinical trials of our product candidates are not adequate to support approval of a marketing application, we may experience delays in obtaining, or fail to obtain, approval of our product candidates, or we may be required to expend significant additional resources, which may not be available to us, to conduct additional trials in support of potential approval of our product candidates. Even if regulatory approval is obtained for a product candidate, the terms of such approval may limit the scope and use of the specific product candidate, which may also limit its commercial potential.</w:t>
      </w:r>
    </w:p>
    <w:p>
      <w:pPr>
        <w:pStyle w:val="TextBody"/>
        <w:bidi w:val="0"/>
        <w:spacing w:before="360" w:after="283"/>
        <w:jc w:val="left"/>
        <w:rPr>
          <w:rFonts w:ascii="Times New Roman" w:hAnsi="Times New Roman"/>
          <w:sz w:val="20"/>
        </w:rPr>
      </w:pPr>
      <w:r>
        <w:rPr>
          <w:rFonts w:ascii="Times New Roman" w:hAnsi="Times New Roman"/>
          <w:b/>
          <w:i/>
          <w:color w:val="000000"/>
          <w:sz w:val="20"/>
        </w:rPr>
        <w:t>Our product candidates may cause serious adverse, undesirable, or unacceptable side effects or have other properties that may delay or prevent marketing approval. If a product candidate receives regulatory approval, and such side effects are identified following such approval, the commercial profile of any approved label may be limited, or we may be subject to other significant negative consequences following such approval.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product candidates may cause serious adverse, undesirable, or unacceptable side effects, which could cause us or regulatory authorities to interrupt, delay, or halt our future clinical trials and could result in a more restrictive label or the delay or denial of regulatory approval by the FDA or comparable foreign authorities. We do not currently, and in the future may not, have sufficient clinical data or other information to enable us to fully anticipate the side effects of our product candidates. Accordingly, we may observe unexpected side effects or higher levels of expected side effects in clinical trials of our product candidates, including adverse events known to occur in the same classes of therapeutics, which may include infusion reaction, cytokine release syndrome, graft-versus-host disease, neurotoxicities, severe infection, and certain cancers.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Results of our clinical trials could reveal a high and unacceptable severity and prevalence of these or other side effects associated with our product candidates. In such an event, clinical trials of such product candidates could be suspended or terminated, and the FDA or comparable foreign regulatory authorities could order us to cease further development of or deny approval of such product candidates for any or all targeted indications. In addition, the FDA or comparable foreign regulatory authorities may more closely scrutinize any side effects or safety concerns associated with our product candidates in the context of the potential benefits observed in diseases that are not immediately life-threatening, such as certain autoimmune diseases, which could harm our ability to develop or obtain regulatory approval for applicable product candidate in such diseases. Moreover, the occurrence of such side effects could negatively affect our ability to recruit and enroll patients in our clinical trials or the ability of enrolled patients to complete the clinical trials, or result in product liability claims. For example, patients with diseases that are not immediately life-threatening, including certain autoimmune diseases, and their physicians may be less likely to enroll or recommend enrollment in clinical trials of our product candidates if there is a risk of certain side effects or safety concerns and may be more likely to cease their participation in such clinical trials if they experience certain side effects. Similar events may occur if it is determined that there are side effects or safety concerns associated with other products or product candidates that are, or are perceived to be, similar to ours. Any of these occurrences could significantly harm our business, financial condition, and prospects.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Further, clinical trials by their nature involve only a sample of the potential patient population. Because our clinical trials will involve only a limited number of patients and limited duration of exposure to our product candidates, rare and severe side effects of our product candidates may not be apparent during early clinical trials and may only be uncovered once a significantly larger number of patients have been exposed to the product candidate, including during later-stage clinical trials or following commercialization, or when longer-term data is available. As such, even if applicable regulatory authorities initially determine that our product candidates have an acceptable safety profile for their intended use in humans, they may later prove to cause serious side effects in patients that we were unable to observe or predict during their clinical development.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the event that any of our product candidates receives regulatory approval and we or others later determine that such product may cause undesirable or unacceptable side effects, a number of potentially significant negative consequences could result,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regulatory authorities may withdraw or limit approvals of such product and require us to take such product off the market;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regulatory authorities may require the addition of labeling statements, specific warnings, or a contraindication or field alerts to physicians and pharmacies, or issue other communications containing warnings or other safety information about the product;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regulatory authorities may require a medication guide outlining the risks of such side effects for distribution to patients or that we implement a risk evaluation and mitigation strategy (REMS) plan to ensure that the benefits of the product outweigh its risks;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required to change the therapeutic dose or the way the product is administered, conduct additional clinical trials, or change the labeling of the product;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subject to limitations on how we may promote or manufacture the product;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sales of the product may decrease significantly;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subject to litigation or product liability claims;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reputation may suffer.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Any of these events could prevent us or our potential future partners from achieving or maintaining market acceptance of the affected product or could substantially increase commercialization costs and expenses, which in turn could delay or prevent us from generating significant revenue from the sale of any products.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Interim, topline, or preliminary data from our preclinical studies or clinical trials that we may announce or publish from time to time may change as more data become available or as we make changes to our manufacturing processes. These data are subject to audit and verification procedures that could result in material changes in the final data.</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From time to time, we may publicly disclose interim, topline, or preliminary data from our preclinical studies or clinical trials, which are based on a preliminary analysis of then-available data, and the final results and related findings and conclusions are subject to change following a more comprehensive review of the study or trial data. We also make assumptions, estimations, calculations, and conclusions as part of our analyses of data, and we may not have received or had the opportunity to fully and carefully evaluate all data at the time of our initial disclosure of data. Further, modifications or improvements to our manufacturing processes for a product candidate may result in changes to its characteristics or behavior that could cause the product candidate to perform differently and affect the results of our preclinical studies or planned or ongoing clinical trials of such product candidate, and potentially require us to conduct additional preclinical studies or clinical trials. As a result, the topline results that we report may differ from future results of the same studies, or different conclusions or considerations may qualify such results once additional data have been received and fully evaluated. Interim, topline, and preliminary data also remain subject to audit and verification procedures, including source data verification, that may result in the final data being materially different from the preliminary data we previously disclosed. As a result, these data should be viewed with caution until the final data are available. Similarly, preliminary or interim data from clinical trials are subject to the risk that one or more of the clinical outcomes may materially change as patient enrollment continues and more patient data become available. Adverse differences between preliminary or interim data and final data could significantly harm our business prospects. Additionally, disclosure of preliminary or interim data by us or our competitors, with respect to clinical trials of their product candidates, could result in volatility in the price of our common stock.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Further, others, including regulatory authorities, investors, or analysts, may not accept or agree with our assumptions, estimates, calculations, conclusions, or analyses, or may interpret or weigh the importance of data, including any decisions we may make based on that data, particularly limited or preliminary data, differently than we do, which could impact the value of the particular program, the approvability or commercialization of the particular product candidate, and our company in general. If the interim, topline, or preliminary data that we report differ from actual results, or if others, including regulatory authorities, investors, or analysts, disagree with the conclusions reached, our ability to obtain approval for and commercialize our product candidates, as well as our business, operating results, prospects, and financial condition, could be harmed.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product candidates or technologies may be involved in ISTs, and we will have limited or no control over the conduct of such trials.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ISTs involving our product candidates or technologies pose or are subject to similar risks to those set forth elsewhere in these Risk Factors relating to clinical trials that we conduct ourselves. Although ISTs may provide us with clinical data that can inform the development strategy for our product candidates, we may have limited or no ability to control the timing, design, and conduct of such ISTs or regulatory matters with respect to such ISTs, including the submission, clearance or approval, or maintenance of any IND or comparable foreign submission required to conduct such ISTs. In addition, we may not control the data collection and reporting, including timing thereof, with respect to any ISTs, and may not control the manufacturing of the product candidate or technology to be tested in any such ISTs. A delay in the timely completion of or reporting of data from any IST, including as a result of manufacturing complications or delays, which could occur for various reasons such as the need to obtain additional licenses, delays in recruiting, enrolling, or retaining patients, or other potential issues, including those described in these Risk Factors, could have a material adverse effect on our ability to further develop our product candidates or to advance our product candidates through subsequent clinical trials. Negative results from an IST could have a material adverse effect on our business and prospects and the perception of our product candidates and technologies. Additionally, there is a possibility that ISTs may be conducted under less rigorous clinical standards than those used in company-sponsored clinical trials. For these or other reasons, the FDA and comparable foreign regulatory authorities may more closely scrutinize the resulting data and may not view these data as providing adequate support for future clinical trials, whether sponsored by us or third parties. In addition, any potential IST could demonstrate marginal efficacy or reveal clinically relevant safety concerns that could delay the further clinical development or regulatory approval of our product candidates. Further, data from a potential IST may fail to demonstrate efficacy for various reasons, including those unrelated to our product candidates or technologies, which may negatively impact the perception of such product candidates and technologies, despite their potential for future success. To the extent that the results of any ISTs raise safety or other concerns regarding our product candidates or technologies, regulatory authorities may question the results of such ISTs or other clinical trials involving the relevant product candidate or technology. Safety concerns arising from any ISTs may cause the FDA or comparable foreign regulatory authorities to impose partial or full clinical holds on clinical trials of our product candidates, including product candidates that were developed using the same technology or manufactured using the same reagents and materials as those product candidates that are the subject of such ISTs, which could delay or prevent us from advancing our product candidates into further clinical development and require us to discontinue our development of such product candidates. The occurrence of any of the foregoing would severely harm our business and prospects.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The manufacture of our product candidates is complex. We or our CDMOs may encounter difficulties in production, which could delay or entirely halt our or their ability to supply our product candidates for clinical trials or, if approved, for commercial sale.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product candidates are considered to be biologics, and the process of manufacturing biologics is complex and requires significant expertise and capital investment, including with respect to the development of advanced manufacturing techniques and process controls. We currently rely, and expect to continue to rely, on CDMOs for the manufacture of our product candidates for clinical studies. We also anticipate that we will continue to rely on CDMOs for at least some portions of our supply chain following commercialization of any product candidates for which we may receive regulatory approval. As described elsewhere in these Risk Factors, we expect that we will continue to be required to transfer certain manufacturing processes and know-how to our CDMOs and any manufacturing facility we may operate, which is a complex process with which we have limited experience. If we experience any delays or issues with the foregoing, manufacturing of our product candidates could be delayed, and we may need to rely to a greater extent on CDMOs for the manufacture of such product candidates for longer than anticipated.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To date, we and our CDMOs have limited experience in manufacturing of cGMP batches of our product candidates. Our CDMOs and, if we operate our own manufacturing facility, we, must comply with cGMPs and other complex regulations and guidelines applicable to the manufacturing of biologics for use in clinical trials and, if approved, commercial sale, and any inability or failure to comply with such regulations and guidelines could delay our clinical trials or prevent us from being able to commence clinical testing at all. To date, we have not scaled the manufacturing processes with respect to our product candidates for later-stage clinical trials and commercialization, and we and our CDMOs may not have sufficient capacity, resources, or capabilities to scale such manufacturing processes in accordance with our desired timelines or at all. Further, certain of our product candidates, or materials used in their manufacture, may have characteristics that present increased manufacturing complexity, necessitate longer manufacturing process timelines, or require a greater number of manufacturing runs. If we are unable to successfully scale the manufacturing process for these product candidates, including in compliance with cGMP quality requirements, or adapt such manufacturing process to meet late-stage development or commercial quality requirements, we may not be able to manufacture sufficient quantities of compliant product candidates, or manufacture them in a timely manner, which would harm our ability to clinically develop and commercialize such product candidates. In addition, the manufacturing of our product candidates, including large-scale manufacturing, may require new technologies and the development of novel processes for upstream and downstream activities, including analytical technologies, which could cause delays in the scaling of manufacturing, as well as greater costs that could negatively impact the financial viability of our product candidates. We cannot be sure that the manufacturing processes employed by us or our CDMOs or the technologies that our CDMOs incorporate into our manufacturing processes will result in viable or scalable yields of </w:t>
      </w:r>
      <w:r>
        <w:rPr>
          <w:rFonts w:ascii="Times New Roman" w:hAnsi="Times New Roman"/>
          <w:i/>
          <w:color w:val="000000"/>
          <w:sz w:val="20"/>
        </w:rPr>
        <w:t xml:space="preserve">ex vivo </w:t>
      </w:r>
      <w:r>
        <w:rPr>
          <w:rFonts w:ascii="Times New Roman" w:hAnsi="Times New Roman"/>
          <w:color w:val="000000"/>
          <w:sz w:val="20"/>
        </w:rPr>
        <w:t xml:space="preserve">and </w:t>
      </w:r>
      <w:r>
        <w:rPr>
          <w:rFonts w:ascii="Times New Roman" w:hAnsi="Times New Roman"/>
          <w:i/>
          <w:color w:val="000000"/>
          <w:sz w:val="20"/>
        </w:rPr>
        <w:t>in vivo</w:t>
      </w:r>
      <w:r>
        <w:rPr>
          <w:rFonts w:ascii="Times New Roman" w:hAnsi="Times New Roman"/>
          <w:color w:val="000000"/>
          <w:sz w:val="20"/>
        </w:rPr>
        <w:t xml:space="preserve"> cell engineering product candidates that will have acceptable safety, purity, potency, or efficacy profiles and, if approved, meet market demand.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biologic product candidates are susceptible to product loss or reduced manufacturing success rates at various points during the manufacturing process, including due to contamination, equipment damage or failure, including during shipment or storage, failure of equipment to operate as expected, improper installation or operation of equipment, vendor or operator error, damage to, variability of, or improper use of raw materials or consumables necessary for the manufacturing process, inconsistency in yields, variability in product characteristics, and difficulties in scaling the production process. Any of these issues, and even minor deviations from normal manufacturing processes, could result in reduced production yields, product defects, and other supply disruptions and delays. If microbial, viral, or other contaminations are discovered in our product candidates or in the facilities in which our product candidates are manufactured, including any manufacturing facility we may operate or those of our CDMOs, such supply may have to be discarded, our products may be withdrawn from clinical trials and, if approved, the market, and such facilities may need to be closed for an extended period of time to investigate and remedy the contamination. Moreover, if the FDA or comparable foreign regulatory authorities determine that we or our CDMOs, or our or our CDMOs’ facilities, are not in compliance with applicable laws and regulations, including cGMPs, the FDA or comparable foreign regulatory authority may not approve a biologics license application (BLA) or comparable foreign marketing authorization until the deficiencies are corrected or we replace the manufacturer in our applications with a compliant manufacturer, and we may ultimately be unable to manufacture our product candidates. The occurrence of any of these issues could delay our ability to commence or timely complete clinical development, obtain regulatory approval of, and commercialize our product candidates.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also may make changes to our manufacturing processes at various points during development, and even after commercialization, for various reasons, such as to control costs, achieve scale, improve quality, decrease processing time, or increase manufacturing success rate. Such changes carry the risk that they will not achieve their intended objectives, and any of these changes could result in changes to a product candidate’s characteristics or behavior or cause our product candidates to perform differently and affect the results of any of our then-ongoing or future preclinical studies or clinical trials, or the performance of the product, once commercialized. In certain circumstances, if we make changes to our manufacturing process for a product candidate, regulatory authorities may require us to perform comparability studies and collect additional preclinical or clinical data prior to undertaking additional clinical trials or obtaining marketing approval for or commercializing the product candidate produced with such modified process. For instance, if we make changes to our manufacturing process for a product candidate during the course of preclinical or clinical development, regulatory authorities may require us to demonstrate the comparability of the product used in preclinical studies, earlier clinical phases, or earlier portions of a trial to the product used in later clinical trials or clinical phases or later portions of a trial, as applicable. If at any point we switch to a different CDMO or supplier of reagents or materials used in the manufacturing process for a product candidate or to any manufacturing facility we may operate, including, for example, in order to ensure sufficient supply for later-stage clinical trials and potential commercialization, we will also be required to perform comparability studies in order to demonstrate comparability of the applicable product candidate, reagent, or material from the prior CDMO or supplier to that from, as applicable, the new CDMO or supplier or our manufacturing facility, and otherwise demonstrate that the relevant product candidate, reagents, or materials meet the applicable specifications. We may be unable to successfully generate comparability data, and even if we are able to generate and provide such data, regulatory authorities may disagree with the design of our comparability studies or otherwise determine that the data are insufficient to support a determination of comparability. Similarly, we may be unable to demonstrate that the relevant materials meet the applicable specifications. In such an event, we may be required to make further changes to our process or undertake additional preclinical or clinical testing, which could result in manufacturing delays and affect our ability to timely dose patients in our clinical trials, which could delay further development or commercialization of such product candidate, or we may be unable to continue development of the applicable product candidate at all.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Any adverse developments affecting manufacturing, including logistics, operations for any of our product candidates, including those for which we may obtain regulatory approval, may result in shipment delays, inventory shortages, lot failures, product withdrawals or recalls, or other supply interruptions that could negatively impact the conduct of our clinical trials or our ability to successfully commercialize any product candidates for which we may obtain regulatory approval. We may also have to take inventory write-offs and incur other charges and expenses for products that fail to meet specifications as a result of defects or storage over an extended period of time, undertake costly remediation efforts, or seek more costly manufacturing alternatives. Any such issues would harm our ability to timely and successfully complete clinical trials and obtain regulatory approval of our product candidates, which could have a significant negative impact on our business, operations, and prospects. </w:t>
      </w:r>
    </w:p>
    <w:p>
      <w:pPr>
        <w:pStyle w:val="TextBody"/>
        <w:bidi w:val="0"/>
        <w:spacing w:before="360" w:after="283"/>
        <w:jc w:val="left"/>
        <w:rPr>
          <w:rFonts w:ascii="Times New Roman" w:hAnsi="Times New Roman"/>
          <w:sz w:val="20"/>
        </w:rPr>
      </w:pPr>
      <w:r>
        <w:rPr>
          <w:rFonts w:ascii="Times New Roman" w:hAnsi="Times New Roman"/>
          <w:b/>
          <w:i/>
          <w:color w:val="000000"/>
          <w:sz w:val="20"/>
        </w:rPr>
        <w:t>We are exposed to a number of risks related to the supply chain for the materials required to manufacture our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manufacturing of our product candidates is highly complex and requires sourcing of specialty materials. Many of the risks associated with the complex manufacturing of our final product candidates are applicable to the manufacture and supply of the raw materials required to make such product candidates. In particular, these raw materials are subject to inconsistency in yields, variability in characteristics, contamination, difficulties in scaling the production process, and defects. Similar minor deviations in the manufacturing process for these raw materials could result in supply disruption and reduced production yields for our final product candidates. In addition, we rely on third parties for the supply of these materials, which exposes us to risks associated with dependence on third parties, as described elsewhere in these Risk Factors. Further, we may use certain reagents and materials across various programs and initiatives, and any difficulties we experience with such reagents or materials, including with respect to sourcing, quality, or other factors, could have a more significant impact on our portfolio and business than if we used different reagents and materials for each of our programs and initiatives.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we require many reagents, which are drug substance intermediates used in our manufacturing processes to bring about chemical or biological reactions, and other specialty raw and intermediate materials, consumables, and equipment, for our manufacturing processes and for quality control testing of our product candidates, some of which are manufactured or supplied by small companies with limited resources and experience with respect to supporting clinical or commercial biologics production. Some of these suppliers may not have the capacity or resources to support manufacturing of products under cGMP on our timelines or at all or may otherwise be ill-equipped to support our needs, including if and as we expand our manufacturing activities to support later-stage clinical trials and, for any product candidates that may receive regulatory approval, commercialization. Reagents and other key materials from these suppliers may have inconsistent attributes and introduce variability into our manufactured product candidates, which may contribute to variable patient outcomes and possible adverse events. We also do not have supply contracts with many of these suppliers and may not be able to enter into supply contracts with them on acceptable terms or at all. Accordingly, we may experience delays in receiving key reagents, materials, consumables, and equipment to support clinical or commercial manufacturing, which could delay development and commercialization of our product candidates.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some of these reagents, materials, consumables, and equipment, we and our CDMOs currently rely and may in the future rely on sole source vendors or a limited number of vendors. We may be unable to continue to source reagents, materials, consumables, or equipment from any of these vendors for various reasons, including due to regulatory actions or requirements affecting a vendor, adverse financial or other strategic developments experienced by a supplier, labor disputes or shortages, unexpected demand from other customers and supply limitations, or quality issues. Additionally, due to global geo-political, economic, and other factors beyond our control, there has been, and there are and may continue to be, a shortage of key materials, consumables, and equipment that are necessary to manufacture our product candidates, including certain consumables such as media, reagents, bags, flasks, and pipette tips, which could affect our or our CDMOs’ ability to obtain the materials, consumables, and equipment necessary to manufacture our product candidates. If any of the foregoing events were to occur, we may experience delays in manufacturing our product candidates, which would harm our ability to conduct future clinical trials and, if approved, commercialize our products and generate product revenues in a timely manner or at all.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Additionally, as described elsewhere in these Risk Factors, rising rates of inflation in recent years and other factors have resulted in substantial increases in the costs associated with manufacturing our product candidates, including the costs of materials, consumables, and equipment, that we are unable to offset. Given the unpredictable nature of the current economic climate, including the potential impact of tariffs, export controls, and future rates of inflation, it may be increasingly difficult for us to predict and control our future expenses, which may harm our ability to conduct our business.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we continue to develop and scale our manufacturing processes, we expect that we will need to obtain rights to and supplies of certain materials and equipment to be used as part of those processes. We may not be able to obtain rights to or sufficient quantities of such materials or equipment on commercially reasonable terms, or at all, and our inability to alter our processes in a commercially viable manner to avoid the use of such materials or equipment or find suitable substitutes would have a material adverse effect on our business. Even if we are able to alter our processes to use other materials or equipment, such a change may delay our clinical development or commercialization plans. As described elsewhere in these Risk Factors, if such a change occurs for product candidate that is already being tested in clinical trials, the change may require us to perform comparability studies, demonstrate that the new materials or equipment meet applicable specifications, and collect additional data from patients prior to undertaking more advanced clinical trials. </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become exposed to costly and damaging liability claims, either when testing our product candidates in clinical trials or at the commercial stage, and our product liability insurance may not cover all damages arising from such claims.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exposed to potential product liability and professional indemnity risks that are inherent in the research, development, manufacturing, marketing, and use of pharmaceutical products. The use of our product candidates in clinical trials, and the sale of any products for which we may obtain approval in the future, may expose us to liability claims. These claims might be made by patients that use the product, healthcare providers, pharmaceutical companies, or others selling such products. Any claims against us, regardless of their merit, could be difficult and costly to defend and could materially adversely affect the market for our product candidates or any prospects for commercialization of our product candidates.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Although the clinical trial process is designed to identify and assess potential side effects, it is always possible that a drug, even after regulatory approval, may exhibit unforeseen side effects. Physicians and patients may not comply with any warnings that identify known potential adverse effects or patients who should not use our product candidates. If any of our product candidates were to cause adverse side effects during clinical trials or after approval, we may be exposed to substantial liabilities.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would require significant financial and management resources to defend against any product liability claims, even if we are successful in such defense. Regardless of the merits or eventual outcome, liability claims may result in decreased demand for our product candidates, negative publicity and injury to our reputation, withdrawal of clinical trial participants, investigations by regulatory authorities, costs to defend the related litigation, diversion of management’s time and our resources, substantial monetary awards to clinical trial participants or patients, product recalls, withdrawals, or labeling, marketing, or promotional restrictions, loss of revenue, exhaustion of any available insurance and our capital resources, inability to commercialize our product candidates, and a decline in our share price.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Although we maintain product liability insurance for our product candidates, it is possible that our liabilities could exceed our insurance coverage. We intend to expand our insurance coverage to include the sale of commercial products if we obtain marketing approval for any of our product candidates. However, we may be unable to maintain insurance coverage at a reasonable cost or obtain insurance coverage that will be adequate to satisfy any liability that may arise. If a successful product liability claim or series of claims is brought against us for uninsured liabilities or in excess of insured liabilities, our assets may not be sufficient to cover such claims, and our business operations could be impaired.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Risks Related to Our Dependence on Third Parties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We rely, and expect to continue to rely, on CDMOs, including third-party testing laboratories, to manufacture our product candidates, as well as materials used in the manufacturing of our product candidates, including testing of such product candidates and materials. Any failure by a CDMO to properly produce acceptable materials or product candidates for us or any failure by us or such CDMO to obtain authorization from the FDA or comparable foreign regulatory authorities or otherwise satisfy regulatory requirements with respect to such manufacturing of our product candidates may delay or impair our ability to initiate or complete our clinical trials, obtain regulatory approvals, or commercialize approved products.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rely on CDMOs, including third-party testing laboratories, to manufacture our product candidates for use in clinical testing and expect to continue to rely on such CDMOs to manufacture at least some of our product candidates thereafter as part of our manufacturing strategy. A limited number of CDMOs specialize in or have the expertise required to manufacture our product candidates or materials used in their manufacture. Moreover, our CDMOs have limited capacity at their facilities and require commitments to secure availability well in advance of manufacturing any products or other materials. Additionally, we face competition from other biopharmaceutical companies to secure manufacturing availability at these facilities. If the CDMOs on which we rely to manufacture our product candidates and other materials do not have sufficient availability at their facilities to do so in accordance with our timelines or are not otherwise able to meet our expected deadlines, we will experience delays in manufacturing our product candidates or other materials necessary for their manufacture. For example, we may rely on single CDMOs for certain manufacturing activities across multiple programs, and any issues we may experience with such a CDMO, including inability to secure manufacturing capacity as and when needed, could result in manufacturing delays across all such programs and harm our ability to timely and successfully complete clinical trials and commercialization of our product candidates. In addition, as described elsewhere in these Risk Factors, we assess and prioritize our programs on an ongoing basis based on various factors. We may not be able to secure manufacturing capacity for certain programs as and when needed and may be required to prioritize manufacturing activities for certain programs over others, which could lead to manufacturing delays and harm our ability to further develop the relevant product candidates. We may also experience similar capacity constraints and manufacturing delays in the future with respect to products we may manufacture at any manufacturing facility we may operate. Further, for each new program or CDMO we engage, or in the case of certain changes to the manufacturing process for a product candidate, the relevant manufacturing process and related know-how must be transferred to the CDMO. This technology transfer is time-consuming and complex. If we are required to switch from an existing CDMO to a new CDMO or to any manufacturing facility we may operate, including to meet cGMP quality requirements or support process lock or larger-scale manufacturing for later-stage clinical trials or potential commercialization, we will need to conduct additional technology transfer activities, which could result in delays in further development of the applicable product candidate.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CDMOs also face intense competition to attract and retain qualified personnel. If our CDMOs are unable to attract, retain, and motivate qualified personnel, they may be unable to perform their obligations in a timely manner or at all, or their performance may be substandard or may not meet our quality requirements, which could cause us to experience delays in or otherwise negatively impact the manufacturing of our product candidates. In addition, our CDMOs and other third parties supporting our operations may experience organizational changes, including due to mergers, acquisitions, or other transactions in which they are involved, which could similarly affect such parties’ ability to timely and properly perform their obligations or perform such obligations at all. Further, as described elsewhere in these Risk Factors, there are few alternatives for the CDMOs that we currently engage, and even if one of our CDMOs fails to perform according to our expectations and, for this or other reasons, we decide to switch to an alternative CDMO, there is no guarantee that such alternative CDMO will be able to perform its obligations in a timely manner or that its performance will meet our expectations or quality requirements. Any delays in manufacturing our product candidates could materially harm our ability to conduct our clinical trials or commercialize our product candidates in a timely manner or at all and could harm our business.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we may rely on CDMOs to produce sufficient quantities of materials required for the manufacture of our product candidates for preclinical testing and clinical trials and intend to continue to rely on CDMOs for the commercial manufacture of at least some of our products, if approved. Global supply chain shortages and rising rates of inflation in recent years and other factors have resulted in substantial increases in the costs of materials, including raw materials, reagents, consumables, and equipment that are required to make or used in the manufacture of our product candidates, and such costs may continue to increase for various reasons, including those described elsewhere in these Risk Factors. If we are unable to obtain such items from third-party sources, or fail to do so on commercially reasonable terms, we may not be able to produce sufficient supply of product candidate or we may be delayed or be required to incur additional costs in doing so. Such inability or failure, or any substantial delay in obtaining or additional costs for such items, could materially harm our business.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rely on third parties to produce certain reagents and biological materials that are used in our discovery and development programs. These materials can be difficult to produce and occasionally have variability from our product specifications. If these materials do not comply with our product specifications, or in the event of any other disruption in the supply of these materials, our business could be materially adversely affected. Although we have control processes and screening procedures, biological materials are susceptible to damage and contamination and may contain active pathogens. Our suppliers may also have low yield from manufacturing batches of these materials, which could increase our costs and slow our development timelines. Improper storage of these materials, by us or any third-party suppliers, may require us to destroy some of these materials or product candidates generated using such materials.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Reliance on CDMOs entails additional risks to which we would not be subject if we manufactured product candidates ourselves, including those applicable to other third-party service providers, as described elsewhere in these Risk Factors. In particular, such risks include reliance on the CDMO for regulatory compliance and quality control and assurance, including compliance with cGMP requirements and comparable standards relating to methods, facilities, and controls used in the manufacturing, processing, testing, and packing of product candidates, which are intended to ensure that biological products have acceptable safety profiles and that they consistently meet applicable requirements and specifications, and our CDMOs may be unable to satisfy applicable compliance and quality requirements in accordance with our timelines or at all. Additional risks include reliance on the CDMO for volume production, the possibility of breach of or inability to perform its obligations under the manufacturing agreement by the CDMO (including a failure to synthesize and manufacture our product candidates in accordance with our product specifications, failure to properly scale-up manufacturing processes, or failure to deliver sufficient quantities of product candidates in a timely manner), and the possibility of termination or nonrenewal of the agreement by the CDMO at a time that is costly or damaging to us. For example, certain of our CDMOs may be unable to manufacture sufficient supply of our product candidates or materials used in their manufacture, in particular, if and as we implement commercial cGMP practices or scale up manufacturing for later-stage clinical trials and potential commercialization. If we experience any issues with respect to the risks described above, or otherwise with respect to the performance by our CDMOs, we may be required to seek a replacement CDMO, which could require significant internal resources and additional costs, delay our ongoing manufacturing activities, and ultimately be unsuccessful. If we were unable to timely find an adequate replacement for our CDMOs or another acceptable solution when needed, our clinical trials could be delayed, or our commercial activities could be harmed. In addition, because we depend on our CDMOs, our suppliers, and other third parties for the manufacture, filling, storage, and distribution of our product candidates, we may be unable to prevent or control manufacturing defects in our products, the use or sale of which could seriously harm our business, financial condition, and results of operations. Issues involving any of the foregoing risks could increase our costs, delay our development timelines, and ultimately lead to a delay in, or failure to obtain, regulatory approval of our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Pharmaceutical manufacturers are required to register their facilities and products manufactured at the time of submission of the marketing application and then annually thereafter with the FDA and certain state and foreign agencies. If the FDA or a comparable foreign regulatory authority does not approve our CDMO’s facilities for the manufacture of our product candidates or if it withdraws any such approval in the future, we may need to find alternative manufacturing facilities, which would significantly impact our ability to develop, obtain regulatory approval for, or market our product candidates, if approved, on a timely basis or at all. Any discovery of problems with a product, or a manufacturing or laboratory facility used by us or our strategic partners in connection with manufacturing of that product, may result in restrictions on the product or on the relevant facility, including marketed product recall, suspension of manufacturing, product seizure, or a voluntary withdrawal of the drug from the market. We may have little to no control regarding the occurrence of any such incidents at our CDMOs.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Pharmaceutical manufacturers are also subject to extensive post-marketing oversight by the FDA and comparable regulatory authorities in the jurisdictions where a product is marketed, including periodic unannounced and announced inspections by the FDA to assess compliance with cGMP requirements. Any failure by one of our CDMOs to comply with cGMP or to provide adequate and timely corrective actions in response to deficiencies identified in a regulatory inspection could result in further enforcement action that could lead to a shortage of products and harm our business, including withdrawal of approvals previously granted, seizure, injunction, or other civil or criminal penalties. The failure of a CDMO to address any concerns raised by the FDA or comparable foreign regulatory authorities could also lead to plant shutdown or the delay or withholding of product approval by the FDA in additional indications or by comparable foreign regulatory authorities in any indication. In addition, because our CDMOs also provide manufacturing services to other companies, including our competitors, there is a risk that our CDMOs may experience the issues described in this Risk Factor with respect to such third parties and their product candidates as well. The occurrence of any such issues could restrict, partially or completely, or otherwise negatively impact such CDMO’s ability to timely and successfully perform its obligations for us with respect to our own product candidates, which would harm our ability to continue manufacturing and commercialize such product candidates. Certain countries may impose additional requirements on the manufacturing of drug products or drug substances, and on manufacturers, as part of the regulatory approval process for products in such countries. The failure by our CDMOs to satisfy such requirements could impact our ability to obtain or maintain approval of our products in such countries. In addition, as described elsewhere in these Risk Factors, our CDMOs may be subject to various other laws and regulations, compliance with or the effect of which could harm our relationship with such CDMOs and negatively impact our business.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If we are unable to obtain sufficient raw and intermediate materials on a timely basis or if we experience other manufacturing or supply interruptions or difficulties, we may be unable to resume supply of such materials or other manufacturing activities within a reasonable time frame and at an acceptable cost or at all, which could materially adversely affect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manufacture of our product candidates requires the timely delivery of sufficient amounts of raw and intermediate materials. We purchase, and rely on our CDMOs to purchase, certain of these materials from third-party suppliers in order to produce our product candidates for our preclinical and clinical studies. There are a limited number of suppliers of these materials, and we may need to assess alternate suppliers to prevent possible disruption of manufacturing of our product candidates for our preclinical studies, our future clinical trials, and if ultimately approved, commercial sale. We have relied, and expect to continue to rely, on our CDMOs to purchase materials in order to produce product candidates for our clinical trials; however, we do not have any control over the process or timing of the acquisition of these materials by our CDMOs or the costs of such materials. We work closely with our CDMOs and suppliers, as applicable, to ensure the continuity of supply, but we cannot ensure that these efforts will always be successful. Further, although we strive to diversify our sources of raw and intermediate materials, in certain instances we acquire raw and intermediate materials from a sole supplier. We cannot be sure that these suppliers will remain in business, or that they will not be purchased by one of our competitors or another company that is not interested in continuing to supply these materials for our intended purpose. As described elsewhere in these Risk Factors, such suppliers may also experience other organizational changes that could negatively impact their ability to supply necessary materials for our programs in a timely manner or at all. Alternative sources of supply may exist when we rely on sole supplier relationships, but we cannot ensure that, if needed, we would be able to quickly establish additional or replacement sources for some materials. The lead time needed to establish a relationship with a new supplier can be lengthy, and we may experience delays in the event a new supplier must be used. In addition, the time and effort to qualify a new supplier could result in additional costs, diversion of resources, or reduced manufacturing yields, any of which would negatively impact our operating results. Although we generally would not begin a clinical trial unless we believe we have a sufficient supply of a product candidate to complete the clinical trial, any significant delay in the supply of a product candidate, or the raw or intermediate material components thereof, for an ongoing clinical trial due to the need to replace a supplier could considerably delay completion of our clinical trials, product testing, and potential regulatory approval of our product candidates. Moreover, we currently do not have any agreements for the commercial supply of these raw or intermediate materials. A reduction or interruption in supply of raw or intermediate materials combined with an inability of us or our CDMOs to timely establish alternative sources for such supply could adversely affect our ability to manufacture our product candidates or approved products in a timely or cost-effective manner, result in a shortage of product supply, delay the development and any commercial launch of our product candidates, and ultimately impair our ability to generate revenues from sales of any approved products.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We rely, and expect to continue to rely, on third parties, including service providers such as CROs, clinical trial sites, including principal investigators, and independent clinical investigators, to conduct or support our preclinical studies and clinical trials. If these third parties do not successfully carry out their contractual duties, comply with applicable regulatory requirements, or meet expected deadlines, we may not be able to obtain regulatory approval for or commercialize our product candidates and our business could be substantially harmed.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rely, and expect to continue to rely, on third parties, including service providers such as CROs, independent clinical investigators, clinical trial sites, and logistics providers, among others, to properly and timely execute or support our preclinical studies and clinical trials and related activities, and to monitor and manage data for our ongoing preclinical and clinical programs, and we have relied to a greater extent on such outsourced activities following our November 2024 workforce reduction. However, we are only able to control certain aspects of the activities of these third parties to the extent set forth under our contracts with these third parties, and we have limited influence over their actual performance. Nevertheless, we are responsible for ensuring that each of our preclinical studies and clinical trials is conducted in accordance with the applicable protocol and legal, regulatory, and scientific standards and rules, and our reliance on these third parties does not relieve us of these obligations. With respect to any of our product candidates that may enter clinical development, we and our CROs and other service providers, as well as our clinical trial sites, including principal investigators, are required, and we rely on them, to comply with good clinical practices (GCP) requirements, which are regulations and guidelines enforced by the FDA and comparable foreign regulatory authorities. Regulatory authorities enforce GCPs through periodic inspections of clinical trial sponsors and clinical trial sites, including principal investigators. If we or any of our CROs or other service providers, or any clinical trial sites or principal investigators involved in our trials, fail to comply with applicable GCPs, the clinical data generated from these clinical trials may be deemed unreliable and the FDA or comparable foreign regulatory authorities may require us to perform additional clinical trials before approving our marketing applications. We cannot be certain that upon inspection by a given regulatory authority, such regulatory authority will determine that any of our clinical trials comply with GCP. In addition, to the extent third parties executing or otherwise supporting our clinical trials, including CROs and clinical trial sites, including principal investigators, fail to conduct such clinical trials in accordance with GCP, fail to timely and successfully enroll and administer our product candidates to patients in our clinical trials, or experience significant delays or other challenges in the execution of our trials, including delays in achieving full enrollment or clinical trial data collection and analysis, we may experience program delays, incur additional costs, or both, which may harm our business. Our clinical trials must also be conducted using product produced in compliance with cGMP regulations, and our failure to do so may require us to repeat clinical trials, which would delay the regulatory approval process for the relevant product candidate.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Further, third parties that support our preclinical and clinical programs, such as service providers, including CROs, independent clinical investigators, and clinical trial sites, including principal investigators, are not our employees, and we are unable to control, other than by contract, the amount of resources, including time, that they devote to our product candidates, preclinical studies, and clinical trials. If such third parties, including our CROs or other service providers, are unable to attract, retain, and motivate qualified personnel or fail to devote sufficient resources to the development of our product candidates, they may be unable to perform their obligations in a timely manner or at all, or their performance may be substandard or fail to meet our quality requirements, which may delay or compromise the conduct of our preclinical and clinical programs and the prospects for approval and commercialization of any such product candidates. As described elsewhere in these Risk Factors, such third parties may also experience organizational changes that could similarly negatively impact their performance or prevent them from performing at all. In addition, in order for these third parties to perform under their contracts with us, we regularly disclose or plan to disclose to these third parties confidential or proprietary information, which increases the risk that this information will be misappropriated. Additionally, disruptions caused by global geo-political, economic, and other factors beyond our control may increase the likelihood that these third parties encounter difficulties or delays in performing their obligations to us, including with respect to initiating, enrolling, conducting, or completing our planned clinical trials.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There is a limited number of third parties, including service providers such as CROs and clinical trial sites, that specialize in or have the expertise required to achieve our business objectives. These third parties generally have the right to terminate their agreements with us in the event of our uncured material breach, and may have the right to terminate under other circumstances, including if it can be reasonably demonstrated that the safety of the subjects participating in our clinical trials warrants such termination. If any of our relationships with these third parties terminate, we may not be able to enter into arrangements with alternative third parties or do so in a timely manner or on commercially reasonable terms. If these third parties do not successfully carry out their contractual duties or obligations or meet expected deadlines, if they need to be replaced, or if the quality or accuracy of the data they obtain is compromised due to the failure to adhere to our preclinical or clinical protocols, regulatory requirements, or for other reasons, our preclinical studies or clinical trials may be extended, delayed, or terminated, the results thereof could be negatively impacted, and we may not be able to obtain regulatory approval for or successfully commercialize our product candidates. As a result, our results of operations and the commercial prospects for our product candidates would be harmed, our costs could increase, and our ability to generate revenues could be delayed. Switching from existing to alternative service providers or clinical trial sites, or adding new service providers or clinical trial sites, may involve significant cost and requires management time and focus. In addition, there is a natural transition period when a new service provider commences work, which could lead to delays and materially impact our ability to meet our desired development, including clinical development, timelines. Additionally, even if our service providers perform as required, they may lack the capacity to absorb higher workloads or take on additional capacity to support our needs. Though we carefully manage our relationships with these service providers, including our contracted laboratories and CROs, there can be no assurance that we will not encounter these types of challenges or delays in the future or that these delays or challenges will not have a material adverse impact on our business, financial condition, and prospects. </w:t>
      </w:r>
    </w:p>
    <w:p>
      <w:pPr>
        <w:pStyle w:val="TextBody"/>
        <w:bidi w:val="0"/>
        <w:spacing w:before="360" w:after="283"/>
        <w:jc w:val="left"/>
        <w:rPr>
          <w:rFonts w:ascii="Times New Roman" w:hAnsi="Times New Roman"/>
          <w:sz w:val="20"/>
        </w:rPr>
      </w:pPr>
      <w:r>
        <w:rPr>
          <w:rFonts w:ascii="Times New Roman" w:hAnsi="Times New Roman"/>
          <w:b/>
          <w:color w:val="000000"/>
          <w:sz w:val="20"/>
        </w:rPr>
        <w:t>Risks Related to Intellectual Property and Information Technology</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Our success depends on our ability to protect our intellectual property rights and proprietary technologies, and we may not be able to protect our intellectual property rights throughout the world.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Patent rights are national or regional rights. The filing, prosecution, maintenance, and defense of patent rights on our platform technologies and product candidates worldwide would be prohibitively expensive, and our intellectual property rights in some countries outside the United States may have a different scope and strength than do those in the United States. In addition, the laws of some foreign countries, particularly certain developing countries, do not protect intellectual property rights to the same extent as federal and state laws in the United States. Consequently, we may not be able to prevent third parties from practicing our intellectual property rights in all countries outside the United States or from making, using, selling, or importing products made using our intellectual property rights in and into the United States or other jurisdictions. Competitors may use our technologies in jurisdictions where we have not obtained intellectual property rights, including patent protection, to develop their own products and may also export otherwise infringing products to territories where we have intellectual property rights, including patent protection, but enforcement rights are not as strong as those in the United States. These products may compete with our products and our patent or other intellectual property rights may not be effective or adequate to prevent them from competing.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particularly those relating to biopharmaceutical products, which could make it difficult in those jurisdictions for us to stop the infringement or misappropriation of our patents or other intellectual property rights, or the marketing of competing products in violation of our proprietary rights. Proceedings to enforce our patent and other intellectual property rights in foreign jurisdictions are expensive, especially in jurisdictions where we have no local presence, and could result in substantial costs and divert our efforts and attention from other aspects of our business. Furthermore, such proceedings could put our patents at risk of being invalidated, held unenforceable, or interpreted narrowly, could put our patent applications at risk of not issuing, and could provoke third parties to assert claims of infringement or misappropriation against us. We may not prevail in any lawsuits that we initiate, and the damages or other remedies awarded, if any, may not be commercially meaningful. Similarly, if our trade secrets are disclosed in a foreign jurisdiction, competitors worldwide could have access to our proprietary information, and we may be without satisfactory recourse. Such disclosure could have a material adverse effect on our business. Moreover, our ability to protect and enforce our intellectual property rights may be adversely affected by unforeseen changes in foreign intellectual property laws. In addition, certain developing countries, including China and India, have compulsory licensing laws under which a patent owner may be compelled to grant licenses to third parties. In those countries, we and our licensors may have limited remedies if patents are infringed or if we or our licensors are compelled to grant a license to a third party, which could materially diminish the value of those patents. In addition, many countries limit the enforceability of patents against government agencies or government contractors. This could limit our potential revenue opportunities. Accordingly, our efforts to enforce our intellectual property rights around the world may be inadequate to obtain a significant commercial advantage from the intellectual property that we develop or license.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Because of the expense and uncertainty of litigation, we may conclude that, even if a third party is infringing our issued patents, or any patents that may be issued as a result of our pending or future patent applications, or other intellectual property rights, the risk-adjusted cost of bringing and enforcing such a claim or action, which typically lasts for years before it is concluded, may be too high or not in the best interest of our company or our stockholders, or it may be otherwise impractical or undesirable to enforce our intellectual property against some third parties. Our competitors or other third parties may be able to sustain the costs of complex patent litigation or proceedings more effectively than we can because of their greater financial resources and/or more mature and developed intellectual property portfolios. In such cases, we may decide that the monetary cost of such litigation and the diversion of the attention of our management and scientific personnel could outweigh any benefit we may receive as a result of the proceedings and that the more prudent course of action is to simply monitor the situation or initiate or seek some other non-litigious action or solution. In addition, the uncertainties associated with litigation could compromise our ability to raise the funds necessary to initiate or continue our future clinical trials, continue our internal research programs, in-license needed technology or other product candidates, or enter into development partnerships that would help us bring our product candidates to market.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Global geo-political actions, such as those described elsewhere in these Risk Factors, including retaliatory measures that may be implemented by foreign countries in response to tariffs or other actions by the United States, could also increase the uncertainties and costs surrounding the prosecution and maintenance of our or our licensors’ patent applications and the maintenance, enforcement, and defense of our or our licensors’ issued patents or otherwise adversely impact our intellectual property rights in those countries.</w:t>
      </w:r>
    </w:p>
    <w:p>
      <w:pPr>
        <w:pStyle w:val="TextBody"/>
        <w:bidi w:val="0"/>
        <w:spacing w:before="360" w:after="283"/>
        <w:jc w:val="left"/>
        <w:rPr>
          <w:rFonts w:ascii="Times New Roman" w:hAnsi="Times New Roman"/>
          <w:sz w:val="20"/>
        </w:rPr>
      </w:pPr>
      <w:r>
        <w:rPr>
          <w:rFonts w:ascii="Times New Roman" w:hAnsi="Times New Roman"/>
          <w:b/>
          <w:i/>
          <w:color w:val="000000"/>
          <w:sz w:val="20"/>
        </w:rPr>
        <w:t>We depend on intellectual property licensed from third parties, and our rights to develop and commercialize our product candidates are subject to, in part, the terms and conditions of the applicable license agreements. If we breach our obligations under these agreements or if any of these agreements is terminated, we may be required to pay damages, lose our rights to such intellectual property and technology, or both, which would harm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depend on patents, know-how, and proprietary technology, both that we own and that we license from others, to research, develop, and commercialize our product candidates. We are a party to a number of intellectual property license agreements and acquisition agreements pursuant to which we have acquired certain of our core intellectual property rights. Moreover, we rely upon licenses to certain intellectual property rights and proprietary technology from third parties that are important or necessary for the development of our technologies and products, including technology related to our manufacturing processes and our product candidates. These licenses may not provide exclusive rights to use such intellectual property and technology in all relevant fields of use or in all territories in which we may wish to develop or commercialize our technology and products in the future. As a result, we may not be able to prevent competitors from developing and commercializing competitive products in such fields of use or territories. These licenses may also require us to grant back certain intellectual property rights to our licensors and to pay certain amounts relating to sublicensing patent and other rights.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have entered into, and we expect to enter into in the future, license and other agreements pursuant to which we may obtain access to or acquire intellectual property rights and technologies. These license and acquisition agreements impose, and we expect that future license and acquisition agreements will impose, various diligence, milestone, royalty, and other payment, and other obligations on us. If we fail to comply with our obligations under these agreements, we may be required to pay damages, and the licensor or other party may have the right to terminate the agreement. Any termination of these agreements could result in the loss of significant rights and could harm our ability to develop or advance one of our cell engineering platforms, or develop, manufacture, or commercialize one of our product candidates. See the subsection titled “Business— Key Intellectual Property Agreements” in Part I, Item 1 of our Annual Report on Form 10-K for the year ended December 31, 2025, filed with the Securities and Exchange Commission on March 3, 2026 (2025 Annual Report) for additional information regarding these key agreements.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Licensing of intellectual property is of critical importance to our business, involves complex legal, business, and scientific issues, and is complicated by the rapid pace of scientific discovery in our industry. Disputes may arise between us and our licensors regarding intellectual property subject to a license agreement, including those relating to: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scope of rights granted under the license agreement and other issues related to interpretation of the agreement, certain provisions of which may be susceptible to multiple interpretations;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whether and the extent to which our technology and processes infringe on intellectual property of the licensor that is not subject to the license agreement;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right to sublicense the patent and other rights granted to us under the license agreement to third parties as part of collaborative development relationships;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whether we are complying with our diligence obligations with respect to the use of the licensed intellectual property rights in relation to our development and commercialization of our product candidates, and what activities satisfy those diligence obligations;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priority of invention of patented technology;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amount and timing of payments owed under license agreements;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allocation of ownership of inventions and know-how resulting from the joint creation or use of intellectual property by our licensors and by us and our partners.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resolution of any contract interpretation disagreement that may arise could change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Our business may also suffer if any current or future licensors fail to abide by the terms of the applicable agreement, if such licensors fail to enforce licensed patents against infringing third parties, if the licensed patents or other rights are found to be unpatentable, invalid, or unenforceable, or if we are unable to enter into or maintain necessary license agreements on acceptable terms or at all. If disputes over intellectual property that we have licensed prevent or impair our ability to maintain our current or future licensing arrangements on acceptable terms, we may be unable to successfully develop and commercialize the affected product candidates. We are generally also subject to all of the same risks with respect to protection of intellectual property that we license as we are for intellectual property that we own, which are described below.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although we cannot currently determine the amount of the royalty obligations we would be required to pay on sales of future products, if any, the amounts may be significant. The amount of our future royalty obligations will depend on the technology and intellectual property we use in product candidates that we successfully develop and commercialize, if any. Therefore, even if we successfully develop and commercialize any product candidates, we may be unable to achieve or sustain profitability.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we are unable to successfully maintain the intellectual property rights we currently have pursuant to agreements with third parties, or those we may in-license or acquire in the future, we may have to abandon development of the relevant research programs or product candidates, which could harm our ability to commercialize our products, and our business, financial condition, results of operations, and prospects could be materially adversely affected. </w:t>
      </w:r>
    </w:p>
    <w:p>
      <w:pPr>
        <w:pStyle w:val="TextBody"/>
        <w:bidi w:val="0"/>
        <w:spacing w:before="360" w:after="283"/>
        <w:jc w:val="left"/>
        <w:rPr>
          <w:rFonts w:ascii="Times New Roman" w:hAnsi="Times New Roman"/>
          <w:sz w:val="20"/>
        </w:rPr>
      </w:pPr>
      <w:r>
        <w:rPr>
          <w:rFonts w:ascii="Times New Roman" w:hAnsi="Times New Roman"/>
          <w:b/>
          <w:i/>
          <w:color w:val="000000"/>
          <w:sz w:val="20"/>
        </w:rPr>
        <w:t>We depend, in part, on our licensors to file, prosecute, maintain, defend, and enforce certain patents and patent applications that are material to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Certain patents relating to our product candidates are owned or controlled by certain of our licensors. Each of our licensors generally has rights to file, prosecute, maintain, and defend the patents we have licensed from such licensor in their name, generally with our right to comment on such filing, prosecution, maintenance, and defense, with some obligation for the licensor to consider or incorporate our comments, for our exclusively licensed patents. We generally have the first right to enforce our exclusively licensed patent rights against third parties, although our ability to settle such claims often requires the consent of the licensor. If our licensors, third parties from whom they license or have obtained the relevant patents, or any future licensees having rights to file, prosecute, maintain, and defend our patent rights fail, or have in the past failed, to properly and timely conduct these activities for patents or patent applications covering any of our product candidates, our ability to develop and commercialize those product candidates may be adversely affected and we may not be able to prevent competitors from making, using, or selling competing products. We cannot be certain that such activities have been or will be conducted in compliance with applicable laws and regulations or will result in valid and enforceable patents or other intellectual property rights. Pursuant to the terms of certain existing or future license agreements, the licensor may have the right to control enforcement of our licensed patents or defense of any claims asserting the invalidity of these patents and, even if we are permitted to pursue such enforcement or defense, we cannot ensure the cooperation of such licensor. We cannot be certain that our licensors will allocate sufficient resources or prioritize their or our enforcement of such patents or defense of such claims to protect our interests in the licensed patents. Even if we are not a party to these legal actions, an adverse outcome could cause us to lose rights to intellectual property that we may need to operate our business or could cause us to lose the ability to exclude our competitors from using the intellectual property rights, which would harm our business. In addition, even when we have the right to control prosecution of licensed patents and patent applications, enforcement of licensed patents, or defense of claims asserting the invalidity of those patents, we may still be adversely affected or prejudiced by actions or inactions of our licensors and their counsel that took place prior to or after our assuming control. In the event we breach any of our contractual obligations to our licensors related to such prosecution, we may incur significant liability to our licensors.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not be successful in obtaining or maintaining necessary rights to product candidates and technologies or related components or processes, which may require us to operate our business in a more costly or otherwise adverse manner than we anticipated. We may not be successful in obtaining or maintaining</w:t>
      </w:r>
      <w:r>
        <w:rPr>
          <w:rFonts w:ascii="Times New Roman" w:hAnsi="Times New Roman"/>
          <w:color w:val="000000"/>
          <w:sz w:val="20"/>
        </w:rPr>
        <w:t xml:space="preserve"> </w:t>
      </w:r>
      <w:r>
        <w:rPr>
          <w:rFonts w:ascii="Times New Roman" w:hAnsi="Times New Roman"/>
          <w:b/>
          <w:i/>
          <w:color w:val="000000"/>
          <w:sz w:val="20"/>
        </w:rPr>
        <w:t>exclusive rights to owned and in-licensed patents or patent applications or future patents to the extent they are co-owned by us and third parties.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own or license from third parties certain intellectual property rights necessary to develop our product candidates. The growth of our business will likely depend in part on our ability to acquire or in-license additional proprietary rights, including to advance our research or allow commercialization of our product candidates. If we are unable to successfully obtain rights to required third-party intellectual property or to maintain the existing intellectual property rights we have, we may have to abandon development or delay commercialization of one or more product candidates and our business and financial condition could suffer.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we are unable to obtain or maintain necessary third-party intellectual property rights, we may be required to expend considerable time and resources to develop or license replacement technology. For example, our programs may rely upon technologies or product candidates that require the use of additional proprietary rights held by third parties. Furthermore, other pharmaceutical companies and academic institutions may have filed or may plan to file patent applications potentially relevant to our business. In order to work effectively and efficiently, or for other reasons, our product candidates may also require specific formulations, reagents, materials, components, or other technology, which may be covered by intellectual property rights held by others. In order to avoid infringing third-party patents, we may be required to license technology from these third parties to further develop or commercialize our product candidates. We may be unable to acquire or in-license third-party intellectual property rights that we identify as necessary or important to our business operations, including composition, method of use, method of making, or other intellectual property rights required to make, use, or sell our product candidates. Such licenses or other rights may not be available at a reasonable cost or on reasonable terms, or at all. As a result, we may need to cease use of the compositions or methods covered by such third-party intellectual property rights and be unable to develop or commercialize the affected product candidates, which would harm our business. In addition, we may need to seek to develop alternative approaches that do not infringe on such intellectual property rights, which may entail additional costs and lead to delays in development. In certain cases, it may not be feasible for us to develop such alternatives, which would harm our ability to continue development of the affected product candidates. Even if we are able to obtain a license to such intellectual property rights, any such license may be non-exclusive, which may allow our competitors to access to the same technologies licensed to us.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Additionally, we sometimes collaborate with academic institutions to accelerate our preclinical research or development under written agreements with these institutions. Typically, these institutions provide us with an option to negotiate a license to any of the institution’s rights in technology resulting from the collaboration. However, we may be unable to negotiate a license within the specified timeframe or under terms that are acceptable to us and the institution may license the intellectual property rights to other parties, potentially blocking our ability to pursue any of our programs to which such rights relate.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licensing and acquisition of third-party intellectual property rights is competitive, and other companies may also be pursuing strategies to license or acquire third-party intellectual property rights that we may consider necessary or attractive in order to commercialize our product candidates. More established companies or those with greater resources may have a competitive advantage over us, for example, due to their larger size or greater clinical development and commercialization capabilities. There can be no assurance that we will be able to successfully complete negotiations and ultimately license or acquire the intellectual property rights necessary or useful for the development and commercialization of our product candidates. Any delays in entering into, or inability to enter into, license or other agreements pursuant to which we obtain rights related to our product candidates could delay or halt the development and commercialization of our product candidates in certain geographies, which could harm our business prospects, financial condition, and results of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Moreover, some of our current or future owned and in-licensed patents or patent applications are or may be co-owned with third parties. If we are unable to obtain an exclusive license to any such co-owner’s interest in such patents or patent applications, such co-owner may be able to license their rights to other third parties, including our competitors, enabling them to market competing products and technologies. In addition, such co-owner may not provide the cooperation necessary to enforce such patents against third parties. Furthermore, our owned and in-licensed patents may be subject to a reservation of rights by one or more third parties. Any of the foregoing could have a material adverse effect on our competitive position, business, financial conditions, results of operations, and prospects.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depend on intellectual property licensed or sublicensed to us from, or for which development was funded or otherwise assisted by, government agencies, such as the National Institutes of Health, for development of our technologies and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Government agencies have provided, and may in the future provide, funding, facilities, personnel, or other assistance in connection with the development of the intellectual property rights owned by or licensed to us. Such government agencies may have retained rights in such intellectual property, including the right to grant or require us to grant mandatory licenses or sublicenses to such intellectual property to third parties under specified circumstances, including if it is necessary to meet health and safety needs that we are not reasonably satisfying or if it is necessary to meet requirements for public use specified by federal regulations, or to manufacture products in the United States. Any exercise of such rights, including with respect to any such required sublicense, could result in our loss of significant rights and could harm our ability to commercialize or continue commercializing the relevant products. For example, at least one of our in-licensed patent cases related to each of our </w:t>
      </w:r>
      <w:r>
        <w:rPr>
          <w:rFonts w:ascii="Times New Roman" w:hAnsi="Times New Roman"/>
          <w:i/>
          <w:color w:val="000000"/>
          <w:sz w:val="20"/>
        </w:rPr>
        <w:t>ex vivo</w:t>
      </w:r>
      <w:r>
        <w:rPr>
          <w:rFonts w:ascii="Times New Roman" w:hAnsi="Times New Roman"/>
          <w:color w:val="000000"/>
          <w:sz w:val="20"/>
        </w:rPr>
        <w:t xml:space="preserve"> and </w:t>
      </w:r>
      <w:r>
        <w:rPr>
          <w:rFonts w:ascii="Times New Roman" w:hAnsi="Times New Roman"/>
          <w:i/>
          <w:color w:val="000000"/>
          <w:sz w:val="20"/>
        </w:rPr>
        <w:t>in vivo</w:t>
      </w:r>
      <w:r>
        <w:rPr>
          <w:rFonts w:ascii="Times New Roman" w:hAnsi="Times New Roman"/>
          <w:color w:val="000000"/>
          <w:sz w:val="20"/>
        </w:rPr>
        <w:t xml:space="preserve"> cell engineering platforms has been funded at least in part by the United States government. As a result, these patent cases are subject to certain federal regulations pursuant to the Bayh-Dole Act of 1980 (Bayh-Dole Act). In particular, the federal government retains a “nonexclusive, nontransferable, irrevocable, paid-up license” for its own benefit to inventions produced with its financial assistance. The Bayh-Dole Act also provides federal agencies with “march-in rights,” which allow the government, in specified circumstances, to require the contractors or successors in title to the patent to grant a “nonexclusive, partially exclusive, or exclusive license” to a “responsible applicant or applicants.” If the patent owner refuses to do so, the government may grant the license itself. Intellectual property rights discovered under government-funded programs are also subject to certain reporting requirements, compliance with which may require us or our licensors to expend substantial resources, and failure to comply may lead to loss of rights. Such intellectual property is also subject to a preference for United States industry, which may limit our ability to contract with foreign product manufacturers for products covered by such intellectual property rights. Moreover, we cannot be sure that any intellectual property we may co-develop with academic institutions in connection with research or development activities will be free from government rights pursuant to the Bayh-Dole Act. If, in the future, we co-own or in-license technology that is critical to our business and is developed in whole or in part with federal funds subject to the Bayh-Dole Act, our ability to enforce or otherwise exploit patents covering such technology may be adversely affected. </w:t>
      </w:r>
    </w:p>
    <w:p>
      <w:pPr>
        <w:pStyle w:val="TextBody"/>
        <w:bidi w:val="0"/>
        <w:spacing w:before="360" w:after="283"/>
        <w:jc w:val="left"/>
        <w:rPr>
          <w:rFonts w:ascii="Times New Roman" w:hAnsi="Times New Roman"/>
          <w:sz w:val="20"/>
        </w:rPr>
      </w:pPr>
      <w:r>
        <w:rPr>
          <w:rFonts w:ascii="Times New Roman" w:hAnsi="Times New Roman"/>
          <w:b/>
          <w:i/>
          <w:color w:val="000000"/>
          <w:sz w:val="20"/>
        </w:rPr>
        <w:t>If we are unable to obtain and maintain sufficient intellectual property protection for our technologies and product candidates, or if the scope of the intellectual property protection is not sufficiently broad, our competitors could develop and commercialize products similar or identical to ours, and our ability to successfully commercialize our products may be adversely affected.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success depends in large part on our ability to obtain and maintain patent protection in the United States and other countries with respect to our technologies and product candidates. We seek to protect our proprietary position by filing patent applications in the United States and abroad related to our novel discoveries and technologies that are important to our business. We have filed numerous patent applications and anticipate that we will file additional patent applications both in the United States and in other countries, as appropriate. However, we cannot predict: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and when any patents will issue from our owned and in-licensed patent applications, and whether the claims of any such issued patent will cover our product candidates and technologies or uses thereof in the United States or in other foreign countries;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degree and range of protection any issued patents will afford us against competitors, including whether third parties will find ways to invalidate or otherwise circumvent our patents;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whether others will apply for or obtain patents claiming inventions similar to those covered by our patents and patent applications;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whether we will need to initiate litigation or administrative proceedings to defend our patent rights, which may be costly whether we win or lose.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Obtaining and enforcing patents is expensive and time-consuming, and we may not be able to file, and we and our licensors may not be able to prosecute, all necessary or desirable patent applications or maintain, defend, or enforce patents that may issue based on our patent applications at a reasonable cost or in a timely manner. It is also possible that we will fail to identify patentable aspects of our research and development results before it is too late to obtain patent protection or before another party files a patent application covering the relevant inventions. Although we enter into confidentiality agreements with parties that have access to patentable aspects of our research and development output, such as our employees, corporate collaborators, outside scientific collaborators, contract research organizations, contract manufacturers, consultants, advisors, and other third parties, any of these parties may breach these agreements and disclose such results before a patent application is filed, thereby jeopardizing our ability to obtain patent protection.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Composition of matter patents for biological products such as </w:t>
      </w:r>
      <w:r>
        <w:rPr>
          <w:rFonts w:ascii="Times New Roman" w:hAnsi="Times New Roman"/>
          <w:i/>
          <w:color w:val="000000"/>
          <w:sz w:val="20"/>
        </w:rPr>
        <w:t>ex vivo</w:t>
      </w:r>
      <w:r>
        <w:rPr>
          <w:rFonts w:ascii="Times New Roman" w:hAnsi="Times New Roman"/>
          <w:color w:val="000000"/>
          <w:sz w:val="20"/>
        </w:rPr>
        <w:t xml:space="preserve"> and </w:t>
      </w:r>
      <w:r>
        <w:rPr>
          <w:rFonts w:ascii="Times New Roman" w:hAnsi="Times New Roman"/>
          <w:i/>
          <w:color w:val="000000"/>
          <w:sz w:val="20"/>
        </w:rPr>
        <w:t>in vivo</w:t>
      </w:r>
      <w:r>
        <w:rPr>
          <w:rFonts w:ascii="Times New Roman" w:hAnsi="Times New Roman"/>
          <w:color w:val="000000"/>
          <w:sz w:val="20"/>
        </w:rPr>
        <w:t xml:space="preserve"> cell engineering product candidates often provide a strong form of intellectual property protection for those types of products, as such patents provide protection without regard to any method of use. We cannot be certain, however, that the claims in our pending patent applications covering the composition of matter of our product candidates will be considered patentable by the United States Patent and Trademark Office (USPTO) or by patent agencies in foreign countries, or that the claims in any of our issued patents will be considered valid and enforceable by courts in the United States or foreign countries. Method of use patents protect the use of a product for the specified method. This type of patent does not prevent a competitor from making and marketing a product that is identical to our product for an indication that is outside the scope of the patented method. Moreover, even if competitors do not actively promote their products for our targeted indications, physicians may prescribe these products “off-label” for those uses that are covered by our method of use patents. Although off-label prescriptions may infringe or contribute to the infringement of method of use patents, the practice is common and such infringement may be difficult to prevent or prosecute.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One aspect of the determination of patentability of inventions depends on the scope and content of the “prior art,” which is information that was or is deemed available to a person of skill in the relevant art prior to the priority date of the claimed invention. There may be prior art of which we are not aware that may affect the patentability of our inventions or, if issued, affect the validity or enforceability of a patent claim. Further, we may not be aware of all third-party intellectual property rights potentially relating to our product candidates or their intended uses, and as a result, the impact of such third-party intellectual property rights on the patentability of our own patents and patent applications, as well as upon our freedom to operate, is highly uncertain. Because patent applications in the United States and most other countries are typically confidential for a period of 18 months after filing, or may not be published at all, we cannot be certain that we were or will be the first to file any patent application related to our product candidates. As a result, the issuance, scope, validity, enforceability, and commercial value of our patent rights are highly uncertain. Furthermore, for United States patent applications in which all claims are entitled to a priority date before March 16, 2013, an interference proceeding can be instituted by a third party or the USPTO to determine who was the first to invent any of the subject matter covered by the relevant patent claims. For United States patent applications containing a claim not entitled to priority before March 16, 2013, there is a greater level of uncertainty in the patent law in view of the passage of the Leahy-Smith America Invents Act (the Leahy-Smith Act), which introduced significant changes to the United States patent laws, including new procedures for challenging pending patent applications and issued patents.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strength of patents in the biotechnology and pharmaceutical fields can be uncertain and evaluating the scope and validity of such patents involves complex legal, factual, and scientific analyses, which may vary based on the jurisdiction in which the analyses are performed. Patents have in recent years been the subject of much litigation in the United States and worldwide, resulting in court decisions, including United States Supreme Court decisions, that have increased uncertainty as to the patentability of certain inventions as well as the enforceability of patent rights in the future. The patent applications that we own or in-license may fail to result in issued patents with claims that cover our technologies or product candidates or uses thereof in the United States or foreign countries. Even if patents do successfully issue, third parties may challenge the patentability, validity, enforceability, or scope thereof, which may result in such patents being narrowed, invalidated, revoked, or held unenforceable. In the event of litigation or administrative proceedings involving our issued patents, we cannot be certain that the claims of any such patent will be considered patentable by administrative bodies or valid by courts in either the United States or foreign countries. Furthermore, even if they are unchallenged, our issued patents may not adequately cover our technologies or product candidates or prevent others from designing their products to avoid being covered by our patent claims. If the breadth or strength of protection provided by our patents is threatened, companies may be dissuaded from collaborating with us to develop, and could threaten our ability to successfully commercialize, our product candidates. In addition, the laws of foreign countries may not protect our rights to the same extent as the laws of the United States, or vice versa. Further, as patent rights are time limited, if we encounter delays in our clinical trials, the period of time during which we could market our product candidates under patent protection would be reduced. </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not identify relevant third-party patents or may incorrectly interpret the relevance, scope, or expiration of a third-party patent, which might adversely affect our ability to develop and market our products.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cannot guarantee that any of our patent searches or analyses, including the identification of relevant patents, the scope or validity of patent claims, or the expiration of relevant patents, are complete or thorough, nor can we be certain that we have identified each and every third-party patent and pending application worldwide, including in the United States, that is relevant to or necessary for the commercialization of our product candidates in any jurisdiction. The scope of a patent’s claims is determined by an interpretation of the laws of the country in which the patent has been granted, the written disclosure in the patent, and the patent’s prosecution history. We may incorrectly interpret the relevance or scope of a patent or a pending application, determine that our products are not covered by a third-party patent, predict whether a third party’s pending application will issue with claims of relevant scope, or determine the expiration date of any patent worldwide, including in the United States, that we consider relevant. Any of the foregoing could negatively impact our ability to develop and market our product candidates.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Intellectual property rights do not necessarily protect us from all potential threats to our competitive advantage.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degree of protection afforded by our intellectual property rights is uncertain because intellectual property rights have limitations and may not adequately protect our business or enable us to maintain our competitive advantage. For example: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not develop technologies that are patentable;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choose not to file a patent in order to maintain certain rights as trade secrets or know-how, and a third party may subsequently file a patent covering such intellectual property;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pending patent applications may not lead to issued patents for various reasons;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or our licensors or future collaborators may not have been the first to make the inventions covered by, or the first to file, certain issued patents or pending patent applications that we own or have exclusively licensed, which may jeopardize our or our licensors’ or future collaborators’ ability to obtain an issued patent or the validity of any issued patents;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scope of protection of any patent that may issue from our own or our in-licensed patent applications is unpredictable and may not cover our product candidates or uses thereof in the United States or in other foreign countries;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claims of any patent that may issue based on our patent applications may not provide protection against competitors or any competitive advantages, or may be challenged by third parties;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others may develop product candidates or technologies that are similar to ours but that are not covered by the claims of the patents that we own or have exclusively licensed;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others may independently develop similar or alternative technologies or duplicate our technologies without infringing our intellectual property rights;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competitors may conduct research and development activities in countries where we do not have patent rights and then use the information learned from such activities to develop competitive products for sale in our major commercial markets;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need to initiate litigation or administrative proceedings to enforce or defend our patent rights, which will be costly regardless of outcome;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issued patents that we own or have exclusively licensed may be revoked or held invalid, unpatentable, unenforceable, or not infringed, including as a result of efforts to enforce our patents and legal challenges;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fail to adequately protect and enforce our rights to our trade secrets and trademarks;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third-party patent rights may have an adverse effect on our business, including if these rights claim subject matter similar to or improving upon that covered by our patents and patent applications.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Should any of these events occur, they could significantly harm our business, results of operations, and prospects. </w:t>
      </w:r>
    </w:p>
    <w:p>
      <w:pPr>
        <w:pStyle w:val="TextBody"/>
        <w:bidi w:val="0"/>
        <w:spacing w:before="360" w:after="283"/>
        <w:jc w:val="left"/>
        <w:rPr>
          <w:rFonts w:ascii="Times New Roman" w:hAnsi="Times New Roman"/>
          <w:sz w:val="20"/>
        </w:rPr>
      </w:pPr>
      <w:r>
        <w:rPr>
          <w:rFonts w:ascii="Times New Roman" w:hAnsi="Times New Roman"/>
          <w:b/>
          <w:i/>
          <w:color w:val="000000"/>
          <w:sz w:val="20"/>
        </w:rPr>
        <w:t>Confidentiality agreements with employees and third parties may not prevent disclosure of trade secrets and other proprietary or confidential information.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to the protection afforded by patents, we rely on trade secret protection and confidentiality agreements to protect proprietary know-how that is not patentable or that we elect not to patent, subject matter for which patents are difficult to enforce, and other elements of our product candidates, technology, and product discovery and development processes that involve proprietary know-how, information, or technology that we do not cover through patent protection. Any disclosure, either intentional or unintentional, by our current or former employees, contractors, collaborators, or those of third parties, including those with whom we share our facilities and consultants and vendors that we engage to perform research, clinical trials, or manufacturing activities, or misappropriation (such as through a cybersecurity breach) of our trade secrets or proprietary or confidential information could enable competitors to duplicate or surpass our technological achievements, thus eroding our competitive position in our market. Because we rely and expect to continue to rely on third parties in the development and manufacture of our product candidates, we must, at times, share trade secrets with them, which increases the possibility that a competitor will discover them or that our trade secrets will be misappropriated or disclosed.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Trade secrets and confidential information, however, can be difficult to protect. We seek to protect our trade secrets, know-how, and confidential information, including our proprietary processes, in part, by entering into confidentiality agreements with our employees, consultants, outside scientific advisors, contractors, collaborators, and other third parties. We require our employees to enter into written employment agreements containing provisions of confidentiality and obligations to assign to us any inventions generated in the course of their employment. In addition, we enter into agreements with our consultants, contractors, service providers, and outside scientific collaborators that typically include invention assignment obligations. We cannot guarantee that we have entered into such agreements with each party that may have or has had access to our trade secrets or proprietary or confidential information, including our technology and processes. Although we use reasonable efforts to protect our trade secrets and confidential information, our employees, consultants, outside scientific advisors, contractors, collaborators, and other third parties might intentionally or inadvertently disclose such information to competitors or other third parties, including, as to consultants and advisors, to their primary employers, in breach of our agreements with such parties, and adequate remedies for such breaches may be unavailable. In addition, competitors may otherwise gain access to our trade secrets or independently develop substantially equivalent information and techniques. Further, we may be required to disclose trade secrets and other confidential information to governmental authorities, including in connection with regulatory filings related to our product candidates, and such authorities may make certain documentation or information contained therein available to the public. If we are unable or otherwise fail to take advantage of any opportunity to protect such trade secrets or other confidential information, our competitors could use such information to compete with us, which would significantly harm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Enforcing a claim that a party illegally disclosed or misappropriated a trade secret is difficult, expensive, and time-consuming, and the outcome is unpredictable. If any of our trade secrets were to be lawfully obtained or independently developed by a competitor or other third party, we would have no right to prevent them from using that technology or information to compete with us. Furthermore, the laws of some foreign countries do not protect proprietary rights to the same extent or in the same manner as the laws of the United States. As a result, we may encounter significant problems in protecting and defending our intellectual property both in the United States and abroad. If we are unable to prevent unauthorized disclosure of our intellectual property, including confidential information, to third parties or misappropriation of our intellectual property by third parties, we will not be able to establish or maintain a competitive advantage in our market, which could materially adversely affect our business, operating results, and financial condition. </w:t>
      </w:r>
    </w:p>
    <w:p>
      <w:pPr>
        <w:pStyle w:val="TextBody"/>
        <w:bidi w:val="0"/>
        <w:spacing w:before="360" w:after="283"/>
        <w:jc w:val="left"/>
        <w:rPr>
          <w:rFonts w:ascii="Times New Roman" w:hAnsi="Times New Roman"/>
          <w:sz w:val="20"/>
        </w:rPr>
      </w:pPr>
      <w:r>
        <w:rPr>
          <w:rFonts w:ascii="Times New Roman" w:hAnsi="Times New Roman"/>
          <w:b/>
          <w:i/>
          <w:color w:val="000000"/>
          <w:sz w:val="20"/>
        </w:rPr>
        <w:t>Third-party claims of intellectual property infringement against us or our collaborators may prevent or delay our product discovery, development, or commercialization efforts.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Our commercial success depends in part on our avoiding infringement of the patents and proprietary rights of third parties. We cannot be certain that our platform technologies, product candidates, and other proprietary technologies we may develop will not infringe existing or future patents owned by third parties. The legal and administrative landscape related to infringement of the patents and proprietary rights of third parties is fluid as there is a substantial amount of litigation involving patents and other intellectual property rights in the biotechnology and pharmaceutical industries, as well as administrative proceedings for challenging patents. These include interference, derivation, </w:t>
      </w:r>
      <w:r>
        <w:rPr>
          <w:rFonts w:ascii="Times New Roman" w:hAnsi="Times New Roman"/>
          <w:i/>
          <w:color w:val="000000"/>
          <w:sz w:val="20"/>
        </w:rPr>
        <w:t>inter partes</w:t>
      </w:r>
      <w:r>
        <w:rPr>
          <w:rFonts w:ascii="Times New Roman" w:hAnsi="Times New Roman"/>
          <w:color w:val="000000"/>
          <w:sz w:val="20"/>
        </w:rPr>
        <w:t xml:space="preserve"> review, post-grant review, and reexamination proceedings before the USPTO or oppositions and other comparable proceedings in foreign jurisdictions. Litigation and other legal proceedings relating to intellectual property claims, with or without merit, are unpredictable and generally expensive and time-consuming and, even if resolved in our favor, are likely to divert significant resources from our core business and distract our technical and management personnel from their normal responsibilities. Such litigation or proceedings could substantially increase our operating losses and reduce the resources available for development activities or any future sales, marketing, or distribution activities. We may not have sufficient financial or other resources to adequately conduct such litigation or proceedings.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have a material adverse effect on our ability to enter into or compete in the marketplace. Furthermore, patent reform and changes to patent laws add uncertainty to the possibility of challenge to our patents in the future.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Numerous issued patents and pending patent applications owned by third parties may exist worldwide in the fields in which we are developing our platform technologies and product candidates. We cannot provide any assurances that third-party patent rights that might be enforced against the making, use, or sale of our current product candidates or future products do not exist, which, if they did exist, would result in either an injunction prohibiting our sales, or an obligation to pay royalties on product sales or other forms of compensation to third parties. As the biotechnology and pharmaceutical industries expand and more patents are issued, the risk increases that our product candidates will be subject to claims of infringement of the patent rights of others. Third parties may assert that we infringe their patents or other intellectual property, or that we are otherwise employing their proprietary technology without authorization, and may sue us. There may be third-party patent filings of which we are currently unaware with claims, including claims to compositions, formulations, methods of manufacture, or methods of use or treatment, that cover our product candidates. It is also possible that patent filings owned by third parties of which we are aware, but which we do not believe are relevant to our platform technologies, product candidates, or other proprietary technologies we may develop, could be found to be infringed by our product candidates. Because patent applications can take many years to issue, there may be pending patent applications, including those of which we are unaware, that may later result in issued patents that our product candidates may infringe. In addition, third parties, including our competitors in both the United States and abroad, many of which have substantially greater resources than we do and have made substantial investments in patent portfolios and competing technologies, may obtain patents in the future that prevent, limit, or otherwise interfere with our ability to make, use, and sell our product candidates, and may claim that use of our technologies or the manufacture, use, or sale of our product candidates infringes upon these patents. If any such third-party patents were held by a court of competent jurisdiction to cover our technologies or product candidates, or if we are found to otherwise infringe a third party’s intellectual property rights, the holders of any such patents may be able to block, including by court order, our ability to develop, manufacture, use, sell, or commercialize the applicable product candidate unless we obtain a license under the applicable patents or other intellectual property, or until such patents expire or are finally determined to be held unpatentable, invalid, or unenforceable. Such a license may not be available on commercially reasonable terms or may not be available at all. Even if we were able to obtain a license, it could be non-exclusive, thereby giving our competitors access to the same technologies licensed to us. If we are unable to obtain a necessary license to a third-party patent on commercially reasonable terms, our ability to commercialize our product candidates may be impaired or delayed, which could significantly harm our business.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pharmaceutical and biotechnology industries have produced a considerable number of patents, and it may not always be clear to industry participants, including us, which patents cover the making, use, or sale of various types of products or methods of use. The scope of patent coverage is subject to interpretation by both administrative bodies and the courts, and the interpretation is not always predictable or uniform. If we were sued for patent infringement, we would need to demonstrate that the making, use, or sale of our product candidates, products, or methods either do not infringe the patent claims of the relevant patent or that the patent claims are invalid or unenforceable, which we may not be able to do. Proving invalidity may be difficult. For example, in the United States, proving invalidity in court requires a showing of clear and convincing evidence to overcome the presumption of validity enjoyed by issued patents, and there is no assurance that a court would invalidate the claims of any such patent. Third parties asserting their patent or other intellectual property rights, such as confidential information or trade secrets, against us may also seek and obtain injunctive or other equitable relief, which could effectively block our ability to further develop and commercialize our product candidates or force us to cease some of our business operations. We may not have sufficient resources to bring any of these actions to a successful conclusion. Defense against any of these claims, regardless of their merit and whether we are successful or not, would require us to incur substantial costs and could divert management and other employee resources from our business, cause development delays, and impact our reputation, which could have a material adverse effect on our business and operations. In the event of a successful claim of infringement against us, we may have to pay substantial damages, including treble damages and attorneys’ fees for willful infringement, obtain one or more licenses from third parties, pay royalties, or redesign our infringing products, which may be impossible to do on a cost-effective basis or require substantial time and monetary expenditure. In that event, we would be unable to further develop and commercialize our product candidates, which could harm our business significantly.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Our issued patents and patent applications could be found unpatentable, invalid, or unenforceable if challenged in courts or before an administrative body, and we may be involved in lawsuits to protect or enforce our or our licensors’ patents or other intellectual property. Our participation in any such action could be expensive, time-consuming, and unsuccessful.</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Our issued patents or pending patent applications may be challenged in the courts or patent offices in the United States and abroad. For example, our patent applications may be subject to a third-party pre-issuance submission of prior art to the USPTO, or we may become involved in post-grant review proceedings, opposition or derivation proceedings, reexaminations, or </w:t>
      </w:r>
      <w:r>
        <w:rPr>
          <w:rFonts w:ascii="Times New Roman" w:hAnsi="Times New Roman"/>
          <w:i/>
          <w:color w:val="000000"/>
          <w:sz w:val="20"/>
        </w:rPr>
        <w:t>inter partes</w:t>
      </w:r>
      <w:r>
        <w:rPr>
          <w:rFonts w:ascii="Times New Roman" w:hAnsi="Times New Roman"/>
          <w:color w:val="000000"/>
          <w:sz w:val="20"/>
        </w:rPr>
        <w:t xml:space="preserve"> review proceedings, in the United States or elsewhere, challenging our patent rights or the patent rights of others. In addition, interference or derivation proceedings provoked by third parties or brought by the USPTO may be necessary to determine the priority of inventions or the correct inventorship of the inventions claimed in our patents or patent applications or those of our licensors. An unfavorable outcome could result in a loss of our current patent rights and could require us to cease using the related technology or to attempt to license rights from the prevailing party. Our business could be harmed if the prevailing party does not offer us a license on commercially reasonable terms. An adverse determination in any such proceeding may result in loss of exclusivity or in our patent claims being narrowed, invalidated, held unpatentable, or held unenforceable, in whole or in part, which could limit our ability to exclude others from using or commercializing similar or identical technology and products, or limit the duration of the patent protection of, or otherwise no longer protect, our technology and products.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In addition, competitors may infringe our or our licensors’ issued patents or other intellectual property. To cease such infringement or unauthorized use, we may be required to initiate patent infringement litigation, which can be expensive and time-consuming and could divert the time and attention of our management and personnel. In such litigation, the defendant could counterclaim that we infringe their patents or that the patent covering our product candidate is invalid, unenforceable, or both. In patent litigation in the United States and abroad, these types of counterclaims are commonplace, and there are numerous grounds upon which a third party can assert invalidity or unenforceability of a patent, including lack of novelty, obviousness, non-enablement, or insufficient written description, or that someone connected with prosecution of the patent withheld relevant information from the USPTO or made a misleading statement during prosecution. Third parties may also raise similar claims before administrative bodies in the United States or abroad, even outside the context of litigation, using post-grant proceedings such as re-examination, </w:t>
      </w:r>
      <w:r>
        <w:rPr>
          <w:rFonts w:ascii="Times New Roman" w:hAnsi="Times New Roman"/>
          <w:i/>
          <w:color w:val="000000"/>
          <w:sz w:val="20"/>
        </w:rPr>
        <w:t>inter partes</w:t>
      </w:r>
      <w:r>
        <w:rPr>
          <w:rFonts w:ascii="Times New Roman" w:hAnsi="Times New Roman"/>
          <w:color w:val="000000"/>
          <w:sz w:val="20"/>
        </w:rPr>
        <w:t xml:space="preserve"> review, post-grant review, opposition, or derivation proceedings.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outcome following legal assertions of unpatentability, invalidity, or unenforceability is unpredictable. In an administrative proceeding, the administrative body may decide that a patent is unpatentable or will be revoked, in whole or in part. In any patent infringement proceeding or declaratory judgment action, a court may decide that our or a licensor’s patent is invalid or unenforceable, in whole or in part. In the event of either decision, we would no longer have the right to stop another party from using the invention covered by the relevant patent. There is also a risk that, even if the validity of such a patent is upheld, the court or administrative body will construe the patent’s claims narrowly or decide that we do not have the right to stop the other party from using the invention at issue on the grounds that our patent claims do not cover the invention. The court could also decide that the other party’s use of our patented technology falls under the safe harbor to patent infringement under 35 U.S.C. §271(e)(1). With respect to the validity and patentability of our patents, for example, we cannot be certain that there is no invalidating prior art of which we, our patent counsel, and the patent offices were unaware during prosecution. If a third party were to prevail on a legal assertion of invalidity or unenforceability, we would lose at least part, and perhaps all, of the patent protection for the relevant product candidate, which could limit our ability to assert our patents against that third party and other competitors and prevent us from excluding third parties from making, using, or selling similar or competitive products.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Even if we establish infringement of our or our licensors’ intellectual property, the remedies may be insufficient. For example, the court may decide not to grant an injunction against further infringing activity and instead award only monetary damages, which may or may not be an adequate remedy. Furthermore, because of the substantial amount of discovery required in connection with intellectual property litigation, there is a risk that some of our confidential information could be compromised by disclosure in the course of litigation. In addition, there could be public announcements of the results of hearings, motions, or other interim proceedings or developments. If securities analysts or investors perceive these results to be negative, the price of our common stock could be substantially adversely affected. Litigation, interference, derivation, or other proceedings involving our or our licensors’ intellectual property may result in a decision adverse to our interests and, even if we are successful, may result in substantial costs and distract our management and other employees. Any failure to obtain or maintain patent protection with respect to our product candidates and other technologies, including as a result of such proceedings, could have a material adverse effect on our business, financial condition, results of operations, and prospects.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The terms of our patents may not be sufficient to effectively protect our products and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Patents have limited terms, and in many jurisdictions worldwide, including the United States, if all maintenance fees are timely paid, the natural expiration of a patent’s term is generally 20 years after its first effective non-provisional filing date. Although various extensions may be available, the term of a patent, and the protection it affords, is limited. Given the significant amount of time required for the development, testing, and regulatory review of new product candidates, patents protecting such product candidates might expire before or shortly after such product candidates are commercialized. Further, any delays in our clinical trials could reduce the period of time during which we could market our product candidates under patent protection. Even if patents covering our product candidates are obtained, once the patent life has expired for a product, we may be open to competition from biosimilar or generic therapies. As a result, our patent portfolio may not provide us with sufficient rights to exclude others from commercializing product candidates similar or identical to ours. Our patents issued as of April 2026 have terms expected to expire on dates ranging from 2029 to 2042, subject to any patent term extensions that may be available. If patents are issued on our patent applications pending as of April 2026, the resulting patents are projected to expire on dates ranging from 2033 to 2047. In addition, although upon issuance in the United States a patent’s term can be increased based on certain delays caused by the USPTO, this increase can be reduced or eliminated based on certain delays caused by the patent applicant during patent prosecution or by failing to timely file a request for patent term adjustment (PTA). A patent term extension based on regulatory delay may also be available in the United States and in certain other foreign jurisdictions. However, in the United States, only a single patent can be extended for each marketing approval, and any patent can be extended only once, for a single product. Moreover, the scope of protection during the period of the patent term extension in the United States does not extend to the full scope of the patent’s claims, but instead only as to the scope of the product as approved. The laws governing analogous patent term extensions in foreign jurisdictions vary widely and many differ from the process in the United States. Additionally, we may not receive a patent term extension if we fail to exercise due diligence during the testing phase or regulatory review process, fail to apply within applicable deadlines, fail to apply prior to expiration of relevant patents, or otherwise fail to satisfy applicable requirements. If we are unable to obtain a patent term extension for any particular patent, or the term of any such extension is less than we request, the period during which we will have the right to exclude others from using the patent rights will be shortened. Our competitors may be able to obtain approval of competing products following our patent expiration and take advantage of our investment in development and clinical trials by referencing our clinical and preclinical data to launch a biosimilar product earlier than might otherwise be the case, which could reduce our revenue, possibly materially. In general, if we do not have sufficient patent term to protect our technologies and product candidates, our business and results of operations will be adversely affected. </w:t>
      </w:r>
    </w:p>
    <w:p>
      <w:pPr>
        <w:pStyle w:val="TextBody"/>
        <w:bidi w:val="0"/>
        <w:spacing w:before="360" w:after="283"/>
        <w:jc w:val="left"/>
        <w:rPr>
          <w:rFonts w:ascii="Times New Roman" w:hAnsi="Times New Roman"/>
          <w:sz w:val="20"/>
        </w:rPr>
      </w:pPr>
      <w:r>
        <w:rPr>
          <w:rFonts w:ascii="Times New Roman" w:hAnsi="Times New Roman"/>
          <w:b/>
          <w:i/>
          <w:color w:val="000000"/>
          <w:sz w:val="20"/>
        </w:rPr>
        <w:t>Third parties may challenge the inventorship or ownership of or otherwise assert rights in our patent and other intellectual property rights.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subject to claims that former employees, collaborators, or other third parties have an ownership interest in our patents or other intellectual property, including as a result of being an inventor or co-inventor. In the United States, the failure to name the proper inventors on a granted patent can result in the patent being unenforceable. Inventorship disputes may arise from conflicting views regarding the contributions made to an invention by the individuals named as inventors, the effects of foreign laws where foreign nationals are involved in the development of the subject matter of the patent, conflicting obligations of third parties involved in developing our product candidates, or questions regarding co-ownership of potential joint inventions. For example, inventorship disputes may arise from conflicting obligations of consultants or others who are involved in developing our technologies or product candidates or related intellectual property. Alternatively, or additionally, we may enter into agreements to clarify the scope of our rights in such intellectual property. Litigation may be necessary to defend against claims challenging or relating to inventorship and ownership of intellectual property rights. Our failure to successfully defend against such claims could result in our obligation to pay monetary damages and loss of valuable intellectual property rights, such as exclusive ownership of, or the right to use, such intellectual property, which could have a material adverse effect on our business. Even if we are successful in defending against such claims, litigation could result in substantial costs and distract management and other employees.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or our licensors may have relied on third-party consultants or collaborators or on funds from third parties, such as the United States government, such that we or our licensors are not the sole and exclusive owners of the patents that we own or that we have in-licensed. If third parties have ownership or other rights to our patents, including in-licensed patents, they may be able to license such patents to our competitors, enabling such competitors to make, use, or sell competing products and technology. This could have a material adverse effect on our competitive position, business, financial conditions, results of operations, and prospects.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although it is our policy to require our employees, contractors and other third parties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As described elsewhere in these Risk Factors, such claims could be expensive and time-consuming to litigate or defend and could divert the time and attention of our management and other personnel, and we may ultimately be unsuccessful in such efforts, which could have a material adverse effect on our business, financial condition, results of operations, and prospects. </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be subject to claims that our employees, consultants, or independent contractors have wrongfully used or disclosed confidential information of third parties.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received confidential and proprietary information from third parties. In addition, we employ and engage individuals who were previously employed by or have otherwise provided services for other organizations, including at other biotechnology or pharmaceutical companies or at academic institutions. We may be subject to claims that we or our employees, consultants, or independent contractors have inadvertently or otherwise improperly used or disclosed confidential information of these third parties or organizations. Litigation may be necessary to defend against these claims. Even if we are successful in defending against these claims, litigation could cause us to incur substantial costs and distract our management and employees. If our defenses to these claims fail, in addition to requiring us to pay monetary damages, a court could prohibit us from using technologies or features that are essential to our product candidates, if such technologies or features are found to incorporate or be derived from the trade secrets or other proprietary information of these third parties or organizations. Moreover, any such litigation or the threat thereof may adversely affect our reputation and our ability to form strategic alliances or sublicense our rights to collaborators, engage with scientific advisors, or hire employees or consultants, each of which would have an adverse effect on our business, results of operations, and financial condition. </w:t>
      </w:r>
    </w:p>
    <w:p>
      <w:pPr>
        <w:pStyle w:val="TextBody"/>
        <w:bidi w:val="0"/>
        <w:spacing w:before="360" w:after="283"/>
        <w:jc w:val="left"/>
        <w:rPr>
          <w:rFonts w:ascii="Times New Roman" w:hAnsi="Times New Roman"/>
          <w:sz w:val="20"/>
        </w:rPr>
      </w:pPr>
      <w:r>
        <w:rPr>
          <w:rFonts w:ascii="Times New Roman" w:hAnsi="Times New Roman"/>
          <w:b/>
          <w:i/>
          <w:color w:val="000000"/>
          <w:sz w:val="20"/>
        </w:rPr>
        <w:t>Our internal computer systems, or those used by third parties involved in our operations, such as research institution collaborators, CROs, CDMOs, and other service providers, contractors, or consultants, may fail or suffer security breaches or incidents.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and third parties involved in our operations are increasingly dependent upon information technology systems, infrastructure, and data to operate our business. In the ordinary course of business, we currently and will continue to collect, store, and transmit confidential and proprietary information (including trade secrets or other intellectual property, proprietary business information, including data from our research, preclinical studies, and clinical trials, and personal information). It is critical that we and these third parties do so in a secure manner to maintain the confidentiality, integrity, and availability of such information. For example, we have outsourced elements of our operations to third parties, and as a result we manage a number of third-party vendors that have access to such information, including those that provide information technology and data security systems and services, and we do not have operational control over these third-party vendors. In addition, we currently and may in the future share or exchange confidential or proprietary information with other third parties, such as collaborators, licensors, or strategic partners, none of which we have control over and all of which are subject to security risks similar to those we face. As such, we are subject to risks not only from security incidents involving our own systems and networks, but also those of third parties with whom we work.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Despite the implementation of security measures (including edge technology designed to identify and protect our network from infiltration by third-party systems), our internal computer systems and those of any third parties involved in our operations, including our third-party research institution collaborators, CROs, CDMOs, and other service providers, contractors, and consultants, including vendors of information technology and data security systems and services, are vulnerable to damage and interruptions from cyberattacks, security breaches and incidents, computer viruses, ransomware, fraud, and other compromises and incidents involving or leading to unauthorized access to or loss, modification, unavailability, use, disclosure, or other processing of confidential or proprietary information. This risk may be exacerbated by the availability and continued development and evolution of artificial intelligence and machine learning technologies (AI Technologies), which may enable threat actors to use more sophisticated means to damage or interrupt our systems or those of third parties. In addition, certain systems or components thereof require enhanced or otherwise different security measures, which may require us to invest additional resources and may leave such systems more vulnerable to security compromises or incidents. These compromises and incidents may involve acts by current or former employees, service providers (including providers of information technology-specific services), nation states (including groups associated with or supported by foreign intelligence agencies), organized crime organizations, “hacktivists,” or others. For example, SolarWinds Corporation (SolarWinds), a provider of information technology monitoring and management products and services that we used, experienced a cyberattack in 2020 that was likely the result of a supply chain attack by an outside nation state. We took steps to mitigate the vulnerabilities identified within these products and, following our investigations, concluded that our confidential information was not materially accessed, lost, or stolen as a result of this cyberattack. However, there may be unknown effects from this or other cyberattacks that have occurred or may occur in the future, any of which could have a material negative impact on our business. In addition, in certain cases, we may rely on or incorporate third-party software, code, or other similar materials into our systems, processes, and operations, such as in the case of internal software development, which exposes us to various risks, including that such third-party materials may have harmful components that could enable access and harm to our systems and confidential information. If we are unable to or otherwise do not detect these harmful components, or are unable to manage their effects, our business could be significantly harmed.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the geo-political climate, tensions between the United States and certain countries, including Russia and China, and other geo-political events may increase our vulnerability to such cybersecurity attacks. For example, the conflict between Russia and Ukraine may create heightened threats of ransomware attacks and other cybersecurity threats for certain industries, including healthcare and pharmaceuticals. We continue to monitor and take steps to mitigate this risk, but we cannot ensure that such efforts will be sufficient to protect us from any such cyberattacks or other incidents. In addition, in July 2022, the heads of the FBI and MI5 issued joint warnings regarding the threat posed by China to national security due to the Chinese government’s increasing use of cyber espionage to steal technology from Western corporations and disrupt Western business. Moreover, the biotechnology industry is one of the top industries that China has targeted for domestic growth and development, and it therefore may be a primary target for such cyber espionage efforts. We continue to monitor our systems and upgrade our security capabilities in order to mitigate risk. However, any access to or loss or theft of our confidential information in connection with a future cyberattack could have a material adverse effect on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security of our network, systems, and information, including data, may also be subject to threats involving misuse by our current or former employees or third parties involved in our operations, including service providers, contractors, vendors, or partners, whether intentional or unintentional. For example, we are subject to the risk that employees may inadvertently share confidential information with unintended third parties, or that departing employees may take, or create their own information based on, our confidential information upon leaving the company. In addition, any such insiders may be the victims of social engineering attacks that enable unauthorized third parties to access our network, systems, and information using an authorized person’s credentials, and such attacks may be more likely to succeed when conducted using AI Technologies. We and our network, systems, and information are also vulnerable to malicious acts by insiders, including leaking, modifying, or deleting confidential information, or performing other acts that could materially interfere with our operations and business. Although we provide regular training to our employees regarding cybersecurity threats and best practices, we cannot ensure that such training or other efforts will prevent unauthorized access to or sabotage of our network, systems, and information.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Although we have not, to our knowledge, experienced any material system failure, accident, or security breach to date, because techniques used to obtain unauthorized access to or to sabotage systems are constantly evolving and generally are not recognized until they are launched against a target, we cannot be sure that our current practices, including our security and data protection efforts and investment in information security and technology will detect or prevent future significant breakdowns, data leakages, breaches in our systems or the systems of third parties involved in our operations, such as service providers, contractors, and collaborators, or other compromises or incidents that could have a material adverse effect upon our reputation, business, operations, or financial condition. Any such event could materially disrupt our operations and programs, delay or otherwise negatively impact the development of our product candidates, and significantly harm our business. To the extent such an event leads to unauthorized access to or loss, modification, unavailability, use, disclosure, or other processing of personal information, including personal information regarding our clinical trial subjects or employees, or any reporting or belief such an event or impact has occurred, this could delay further development and commercialization of our product candidates, harm our reputation directly, require us to comply with federal or state breach notification laws and foreign law equivalents, subject us to mandatory corrective action, and otherwise subject us to liability under laws and regulations that protect the privacy and security of personal information. As a result, we could incur significant legal and financial exposure and reputational harm that could have a material adverse effect on our business. In any case, if we experience a cyberattack or security breach or incident, we could incur significant costs to remedy the resulting damage, including costs to deploy additional personnel and security and protection technologies, train employees, and engage third-party experts and consultants. We and the third parties involved in our operations may face difficulties and delays in identifying, responding to, and remediating security breaches and incidents, and we may find it necessary or appropriate to put in place additional measures designed to identify, protect against, and otherwise address cyberattacks and security breaches and incidents. Although we maintain cyber liability insurance, we cannot be certain that our coverage will be adequate for liabilities actually incurred or that insurance will continue to be available to us on commercially reasonable terms or at all.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we have entered into and expect to continue to enter into agreements, such as collaboration, license, contract research, manufacturing, clinical trial, and other services agreements, with organizations that operate in certain countries that are at heightened risk of technology, data, and intellectual property theft through direct intrusion by private parties or foreign actors, including those affiliated with or controlled by state actors. If any theft or intrusion affects our technology, data, or intellectual property, the value of such technology, data, or intellectual property to our company may be diminished and our competitive position could be harmed. In such a case, our efforts to protect and enforce our intellectual property rights around the world may be inadequate to obtain a significant commercial advantage from such intellectual property, and we may be at heightened risk of losing our proprietary intellectual property rights around the world, including outside of such countries, to the extent such theft or intrusion destroys the proprietary nature of our intellectual property.</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Artificial intelligence and machine learning technologies continue to expand and evolve. If we fail or are unable to take advantage of such technologies or to properly use such technologies, our business and competitive advantage could be harmed.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personnel, and those of any third parties involved in our operations, including vendors, service providers, collaborators, contractors, and consultants, may develop and use AI Technologies in the course of performing work for us, including generative artificial intelligence technologies (GenAI) that have the ability to output new content and information based on user inputs. GenAI has the potential to benefit our business and operations, possibly significantly, including by potentially creating efficiencies and enabling powerful research and development that may otherwise not be possible, and we may be at a competitive disadvantage if we do not or are unable to use GenAI, or only use it for limited purposes. However, use of GenAI in connection with our confidential, proprietary, or otherwise sensitive information, including personal data, may result in leaks, disclosure, or otherwise unauthorized or unintended access to or use or other processing of such information, including incorporation of such information into the applicable GenAI system or use of such information to further refine and train the GenAI models. Any such access or use, or any improper or inappropriate use, of GenAI could, for example, reveal trade secrets or other confidential information that may enable third parties to replicate or improve upon our technologies and programs, advance their technologies or programs more rapidly than we do, or otherwise negatively impact the value of, or our ability to obtain or maintain, intellectual property rights. Access to and use and other processing of personal data may subject us to risks and potential liability and obligations under applicable data privacy laws, as described elsewhere in these Risk Factors. Although we implement measures designed to prevent the occurrence of such events, such as through policies and employee training, we cannot ensure that such measures will be successful.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20"/>
        </w:rPr>
        <w:t>Further, we may use the output of GenAI in our technologies, programs, and other aspects of our business, and such output could incorporate third-party intellectual property, or we may otherwise be unable to own, protect, further develop, or ultimately use such output, which could significantly harm our business to the extent such technologies, programs, or other aspects of our business rely upon such output. Such output may also be false, non-sensical, biased, or otherwise harmful to our operations and business if incorporated therein. Further, our ability to use GenAI or further develop or use its output may depend on access to specific third-party software and infrastructure, such as processing hardware or third-party artificial intelligence models, and we cannot control the availability or pricing of such software and infrastructure, especially in a highly competitive environment. We may also face novel and urgent cybersecurity risks and emerging operational, ethical, and societal risks relating to the use of GenAI and other AI Technologies, including with respect to fairness and potential bias, which could adversely affect our operations, assets, including intellectual property and data, and reputation, as well as those of any third parties involved in our operations. There is significant uncertainty with respect to the nature of the laws and regulations that have been and may in the future be adopted, including how such laws and regulations will be interpreted and applied, both within and outside of the United States, with respect to the use of AI Technologies in general, and GenAI in particular, including the ownership of or right to use the output of GenAI. We may need to expend significant resources to modify and maintain our business practices in our efforts to comply with such laws and regulations and to otherwise ensure appropriate and lawful use of AI Technologies, including GenAI and its output, in our technologies, programs, and other aspects of our business. Third parties involved in our operations may face similar challenges, and we and such third parties may be unable to meet evolving legal and regulatory requirements regarding the use of AI Technologies, including GenAI, which could subject us to additional costs and expenses, litigation, regulatory scrutiny, actions, and investigations, reputational damage, and other negative consequences</w:t>
      </w:r>
      <w:r>
        <w:rPr>
          <w:rFonts w:ascii="Times New Roman" w:hAnsi="Times New Roman"/>
          <w:b/>
          <w:i/>
          <w:color w:val="000000"/>
          <w:sz w:val="20"/>
        </w:rPr>
        <w:t>.</w:t>
      </w:r>
    </w:p>
    <w:p>
      <w:pPr>
        <w:pStyle w:val="TextBody"/>
        <w:bidi w:val="0"/>
        <w:spacing w:before="360" w:after="283"/>
        <w:jc w:val="left"/>
        <w:rPr>
          <w:rFonts w:ascii="Times New Roman" w:hAnsi="Times New Roman"/>
          <w:sz w:val="20"/>
        </w:rPr>
      </w:pPr>
      <w:r>
        <w:rPr>
          <w:rFonts w:ascii="Times New Roman" w:hAnsi="Times New Roman"/>
          <w:b/>
          <w:i/>
          <w:color w:val="000000"/>
          <w:sz w:val="20"/>
        </w:rPr>
        <w:t>If our trademarks and trade names are not adequately protected, then we may not be able to build name recognition in our markets of interest and our business may be adversely affected.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currently and in the future will need to maintain and protect our trademarks and trade names to ensure, among other things, name recognition by potential partners and, if our products receive regulatory approval, customers in our markets of interest. We may not be able to protect our rights in our current or future trademarks and trade names or may be forced to stop using these trademarks or trade names, including as a result of such trademarks and trade names being challenged, infringed, circumvented, or declared generic or descriptive, or being determined to infringe on other marks. In any such case, we may no longer be able to enforce or use our rights in these trademarks and trade names. During trademark registration proceedings, our applications may be rejected by the USPTO or comparable foreign agencies. Although we would be given an opportunity to respond to those rejections, we may be unable to overcome such rejections. In addition, in the USPTO and in many comparable foreign agencies, third parties are given an opportunity to oppose pending trademark applications and to seek to cancel registered trademarks. Opposition or cancellation proceedings may be filed against our trademarks, and our trademarks may not survive such proceedings. If we are unable to establish name recognition based on our trademarks and trade names, we may not be able to compete effectively, and our business may be adversely affected. We may license our trademarks and trade names to collaborators or to third parties, such as distributors. Though these license agreements may provide guidelines for how our trademarks and trade names may be used, a breach of these guidelines or misuse of our trademarks and tradenames by our licensees may jeopardize our rights in or diminish the goodwill associated with our trademarks and trade names.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Moreover, any name we may propose to use as a trade name for any of our product candidates in the United States must be approved by the FDA, regardless of whether we have applied to register it as a trademark. Similar requirements exist in Europe. The FDA typically conducts a review of proposed product names, including an evaluation of potential for confusion with other product names. If the FDA or a comparable foreign regulatory authority objects to any of our proposed proprietary product names, we may be required to expend significant additional resources in an effort to identify a suitable substitute name that would be registerable under applicable trademark laws, not infringe the existing rights of third parties, and be acceptable to the FDA or comparable foreign regulatory authority. Furthermore, in many countries, owning and maintaining a trademark registration may not provide an adequate defense against a subsequent infringement claim asserted by the owner of a senior trademark. At times, competitors or other third parties may adopt trademarks or trade names similar to ours, thereby impeding our ability to build brand identity and possibly leading to market confusion. In addition, there could be potential trademark or trade name infringement claims brought against us by owners of other registered trademarks or trademarks that incorporate variations of our registered or unregistered trademarks or trade names. If we assert trademark infringement claims against third parties, a court may determine that the marks we have asserted are invalid or unenforceable, or that the party against whom we have asserted trademark infringement has superior rights to the marks in question. In this case, we could ultimately be forced to cease use of such trademarks.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Changes in United States and foreign patent law could diminish the value of patents in general, thereby impairing our ability to protect our products.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As is the case with other biopharmaceutical companies, our success is heavily dependent on intellectual property, and patent rights in particular. Obtaining and enforcing patents in the biopharmaceutical industry involves both technological and legal complexity and is therefore costly, time-consuming, and inherently uncertain. Changes in either the patent laws or related regulations, or interpretation of such laws or regulations, could increase the uncertainties and costs associated with protection of, and may diminish our ability to protect, our inventions and our ability to obtain, maintain, and enforce our intellectual property rights and, more generally, could adversely affect the value of our intellectual property or narrow the scope of or invalidate our owned and licensed patents. Patent reform legislation in the United States and other countries, including the Leahy-Smith Act signed into law on September 16, 2011, and the implementation thereof could increase uncertainties and costs surrounding the prosecution of our patent applications and the enforcement or defense of our issued patents. The Leahy-Smith Act introduced a number of significant changes to United States patent law. These include provisions that affect the way patent applications are prosecuted, redefine prior art, and provide more efficient and cost-effective avenues for competitors to challenge patents. These include allowing third-party submission of prior art to the USPTO during patent prosecution and additional procedures to attack patents by USPTO-administered post-grant proceedings, including post-grant review, </w:t>
      </w:r>
      <w:r>
        <w:rPr>
          <w:rFonts w:ascii="Times New Roman" w:hAnsi="Times New Roman"/>
          <w:i/>
          <w:color w:val="000000"/>
          <w:sz w:val="20"/>
        </w:rPr>
        <w:t>inter partes</w:t>
      </w:r>
      <w:r>
        <w:rPr>
          <w:rFonts w:ascii="Times New Roman" w:hAnsi="Times New Roman"/>
          <w:color w:val="000000"/>
          <w:sz w:val="20"/>
        </w:rPr>
        <w:t xml:space="preserve"> review, and derivation proceedings. In addition, under the Leahy-Smith Act, the United States transitioned to a first inventor to file system for filings made after March 2013, under which, assuming that the other statutory requirements are met, the first inventor to file a patent application will be entitled to the patent on an invention regardless of whether a third party was the first to invent the claimed invention. A third party that files a patent application in the USPTO after March 2013, but before we file an application covering the same invention, could therefore be awarded a patent covering an invention of ours even if we had made the invention before it was made by such third party. As a result, we must be cognizant of the time from invention to filing of a patent application. Since patent applications in the United States and most other countries are confidential for a period of time after filing or until issuance, we cannot be certain that we or our licensors were the first to either (i) file any patent application related to our platform technologies, product candidates, and other proprietary technologies we may develop or (ii) invent any of the inventions claimed in our or our licensors’ patents or patent applications. Even where we have a valid and enforceable patent, we may not be able to exclude others from practicing the claimed invention if the other party can show that they used the invention in commerce before our filing date or the other party benefits from a compulsory license. Any of the foregoing could have a material adverse effect on our business, financial condition, results of operations, and prospects.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in 2012, the EU Patent Package regulations were passed with the goal of providing a single pan-European Unitary Patent and a new European Unified Patent Court (UPC) for litigation involving European patents. The EU Patent Package was implemented on June 1, 2023. As a result, all European patents, including those issued prior to ratification of the European Patent Package, now by default automatically fall under the jurisdiction of the UPC. The UPC provides third parties, including our competitors, with a new forum to seek to centrally revoke our European patents and to seek to obtain pan-European injunctions. It will be several years before we will understand the scope of patent rights that will be recognized and the strength of patent remedies that will be provided by the UPC. Under the current EU Patent Package, we have the right to opt our patents out of the UPC for the first seven years of the UPC’s existence, but doing so may preclude us from realizing the benefits of this new unified court.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Furthermore, the patent position of companies in the biopharmaceutical industry is particularly uncertain. Various courts, including the United States Supreme Court, have rendered decisions that could negatively affect the actual or perceived value of patents, such as recent federal district and appellate court rulings that have narrowed the scope of patent protection available in certain circumstances, weakened the rights of patent owners in certain situations, and in certain cases invalidated patents entirely. For example, in its 2023 decision in </w:t>
      </w:r>
      <w:r>
        <w:rPr>
          <w:rFonts w:ascii="Times New Roman" w:hAnsi="Times New Roman"/>
          <w:i/>
          <w:color w:val="000000"/>
          <w:sz w:val="20"/>
        </w:rPr>
        <w:t>Amgen v. Sanofi</w:t>
      </w:r>
      <w:r>
        <w:rPr>
          <w:rFonts w:ascii="Times New Roman" w:hAnsi="Times New Roman"/>
          <w:color w:val="000000"/>
          <w:sz w:val="20"/>
        </w:rPr>
        <w:t xml:space="preserve">, the United States Supreme Court held that a functionally-claimed genus was invalid for failing to comply with the enablement requirement of the Patent Act. In addition, the Federal Circuit’s 2023 decision in </w:t>
      </w:r>
      <w:r>
        <w:rPr>
          <w:rFonts w:ascii="Times New Roman" w:hAnsi="Times New Roman"/>
          <w:i/>
          <w:color w:val="000000"/>
          <w:sz w:val="20"/>
        </w:rPr>
        <w:t>In re: Cellect, LLC</w:t>
      </w:r>
      <w:r>
        <w:rPr>
          <w:rFonts w:ascii="Times New Roman" w:hAnsi="Times New Roman"/>
          <w:color w:val="000000"/>
          <w:sz w:val="20"/>
        </w:rPr>
        <w:t xml:space="preserve">, which considered the interaction of PTAs, terminal disclaimers, and obvious-type double patenting, may negatively affect the patent term of any issued patents that rely on any PTA. In addition to increasing uncertainty with regard to our ability to obtain patents in the future, this combination of events has created uncertainty with respect to the value of patents once obtained. Depending on decisions by Congress, the federal courts, the USPTO, and the relevant law-making bodies in other countries, the laws and regulations governing patents could change in unpredictable ways that could weaken our ability to obtain new patents or to enforce our existing patents and patents that we might obtain in the future. For example, in the 2013 case </w:t>
      </w:r>
      <w:r>
        <w:rPr>
          <w:rFonts w:ascii="Times New Roman" w:hAnsi="Times New Roman"/>
          <w:i/>
          <w:color w:val="000000"/>
          <w:sz w:val="20"/>
        </w:rPr>
        <w:t>Assoc. for Molecular Pathology v. Myriad Genetics, Inc.</w:t>
      </w:r>
      <w:r>
        <w:rPr>
          <w:rFonts w:ascii="Times New Roman" w:hAnsi="Times New Roman"/>
          <w:color w:val="000000"/>
          <w:sz w:val="20"/>
        </w:rPr>
        <w:t xml:space="preserve">, the United States Supreme Court held that certain claims to naturally occurring substances are not patentable. Although we do not believe that any of the patents owned or licensed by us will be found invalid based on this decision, we cannot predict how future decisions by Congress, the federal courts, the USPTO, or the relevant law-making bodies in other countries may impact the value of our patents. For example, the Inflation Reduction Act (IRA) authorizes the Secretary of the Department of Health and Human Services (HHS) to negotiate prices directly with participating manufacturers for selected medicines covered by Medicare even if these medicines are protected by an existing patent. While we do not believe that the IRA or its effects will impact our ability to obtain patents in the near future, we cannot be certain whether and to what extent it will affect our longer-term patent strategy or our business. Additionally, in July 2025, the FDA announced its intent to increase transparency by publicly releasing complete response letters (CRLs) issued to drug and biologic sponsors, and subsequently announced it would release in “real time” newly issued CRLs. CRLs, which are issued when a BLA or New Drug Application cannot be accepted in its current form, outline the reasons for non-approval and may contain confidential or proprietary information relating to the applicant’s product, including clinical trial, manufacturing, and technical information, including specific observations about study design and clinical endpoints. Although the FDA has stated that confidential information will be redacted, it remains unclear how such disclosures will be implemented. Any public release of a CRL issued to us could result in the unintentional disclosure of information that competitors may use to infer proprietary aspects of our or our licensor’s technologies, which could compromise our confidential and proprietary information, including our trade secrets and know-how, or facilitate third-party efforts to design around or challenge the validity, enforceability, or scope of our patents, or accelerate the development of biosimilars. If we are required to modify or limit the information shared with the FDA to mitigate such risks, it could increase our costs, slow our regulatory interactions, or delay our product approval timelines. Accordingly, evolving laws, regulations, and policies in the United States and other countries may adversely affect our and our licensors’ ability to obtain new patents or to enforce existing patents and may facilitate third-party challenges to any of our owned or licensed patents. </w:t>
      </w:r>
    </w:p>
    <w:p>
      <w:pPr>
        <w:pStyle w:val="TextBody"/>
        <w:bidi w:val="0"/>
        <w:spacing w:before="360" w:after="283"/>
        <w:jc w:val="left"/>
        <w:rPr>
          <w:rFonts w:ascii="Times New Roman" w:hAnsi="Times New Roman"/>
          <w:sz w:val="20"/>
        </w:rPr>
      </w:pPr>
      <w:r>
        <w:rPr>
          <w:rFonts w:ascii="Times New Roman" w:hAnsi="Times New Roman"/>
          <w:b/>
          <w:i/>
          <w:color w:val="000000"/>
          <w:sz w:val="20"/>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USPTO and foreign governmental patent agencies require compliance with a number of procedural, documentary, fee payment, and other similar requirements during the patent application process. Additionally, periodic maintenance fees on any issued patent must be paid to the USPTO and foreign patent agencies in several stages over the lifetime of the patent. We employ reputable law firms and other professionals to help us comply, and in many cases, an inadvertent lapse can in many cases be cured by payment of a late fee or by other means in accordance with the applicable rules. However, there are situations in which noncompliance can result in abandonment or lapse of the patent or patent application, resulting in partial or complete loss of patent rights in the relevant jurisdiction. Noncompliance events that could result in a failure to perfect a priority claim, abandonment, or lapse of a patent or patent application include failure to respond to official actions within prescribed time limits, failure to pay fees, and failure to properly legalize and submit formal documents. In any such event, our competitors might be able to enter the market, which would have a material adverse effect on our business.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Risks Related to Our Regulatory Environment</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The development and commercialization of biopharmaceutical products is subject to extensive regulation, and the regulatory approval processes of the FDA and comparable foreign regulatory authorities are lengthy, time-consuming, and inherently unpredictable. If we are unable to obtain regulatory approval for our product candidates on a timely basis, or at all, our business will be substantially harmed.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clinical development, manufacturing, labeling, packaging, storage, recordkeeping, advertising, promotion, export, import, marketing, distribution, adverse event reporting, including the submission of safety and other post-marketing information and reports, and other activities we may engage in relating to our product candidates are subject to extensive regulation. In the United States, marketing approval of biologics requires the submission of a BLA to, and approval of such BLA by, the FDA, before a party can market any product candidate in the United States. A BLA must be supported by extensive clinical and preclinical data, as well as extensive information regarding pharmacology, chemistry, manufacturing, and controls. Outside the United States, many comparable foreign regulatory authorities employ similar approval processes. Any issues encountered by such regulatory authorities, including as a result of any prolonged government shutdown, could delay or otherwise negatively impact the development and commercialization of our product candidates. For example, changes in leadership, closures of government agencies, loss of key personnel, and staffing shortages, furloughs, lapses in government appropriations or funding, or other disruptions could increase the time required for interactions with regulatory authorities, including with respect to the review, acceptance, or approval of regulatory applications or other correspondence or submissions related to our product candidates, as well as our patent or other intellectual property applications, and could also result in delays in the interpretation and implementation of important laws and regulations relevant to our business. In addition, there is uncertainty regarding how the FDA and other government agencies may evolve in the coming years, as well as with respect to the regulatory approval process for biopharmaceutical products. For example, in January 2025, an executive order entitled “Unleashing Prosperity Through Deregulation” called for at least ten existing regulations to be repealed whenever an executive department or agency publicly proposes for notice and comment or otherwise promulgates a new regulation. There have also been numerous developments at the FDA under the current government administration, including implementation of a GenAI tool, referred to as Elsa, across all centers at the FDA, announcement of a plan to phase out animal testing for certain drugs, and the announcement of a new Commissioner’s National Priority Voucher (CNPV) pilot program to accelerate the development and review of products that are aligned with United States national health priorities and interests. The FDA has also increased its scrutiny of certain foreign parties, including drug manufacturing facilities and other contractors involved in clinical trials, in particular with respect to the transfer of Americans’ biological materials and genetic and other sensitive data to parties located in China. We cannot fully predict how developments such as those described above, including any future developments, will impact our business.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To date, we have not submitted a BLA to the FDA or similar applications to comparable foreign regulatory authorities for any product candidate, and we cannot be certain that any of our product candidates will receive regulatory approval once a BLA or similar application has been submitted. The process of obtaining regulatory approval is expensive, uncertain, often takes many years following the commencement of clinical trials, and can vary substantially based upon the type, complexity, and novelty of the product candidates involved, as well as the target indications, patient population, and regulatory authority involved. As a company, we have no experience with the preparation and submission of a BLA or any other application for marketing approval. Further, the FDA has not yet granted approval for a therapeutic derived from stem cells, which we believe may increase the complexity, uncertainty, and length of the regulatory approval process for certain of our product candidates developed using our </w:t>
      </w:r>
      <w:r>
        <w:rPr>
          <w:rFonts w:ascii="Times New Roman" w:hAnsi="Times New Roman"/>
          <w:i/>
          <w:color w:val="000000"/>
          <w:sz w:val="20"/>
        </w:rPr>
        <w:t>ex vivo</w:t>
      </w:r>
      <w:r>
        <w:rPr>
          <w:rFonts w:ascii="Times New Roman" w:hAnsi="Times New Roman"/>
          <w:color w:val="000000"/>
          <w:sz w:val="20"/>
        </w:rPr>
        <w:t xml:space="preserve"> cell engineering platform. In addition, the FDA has the authority to require a REMS plan as part of a BLA approval or after BLA approval, which may impose further requirements or restrictions on the distribution or use of an approved biologic, such as limiting prescribing to certain physicians or medical centers that have undergone specialized training, limiting treatment to patients who meet certain safe-use criteria, and requiring treated patients to enroll in a registry.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product candidates could fail to receive regulatory approval for many reasons, including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or comparable foreign regulatory authorities may disagree with the design or implementation of our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unable to demonstrate to the satisfaction of the FDA or comparable foreign regulatory authorities that a product candidate satisfies the FDA’s or such comparable foreign regulatory authorities’ legal standards with respect to safety, purity, and potency, or efficacy, for its intended patient population;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results of clinical trials may not meet the level of statistical significance required by the FDA or comparable foreign regulatory authorities for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unable to demonstrate that a product candidate’s clinical and other benefits outweigh its safety risks;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or comparable foreign regulatory authorities may disagree with our interpretation of data from preclinical studies or clinical trials;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data collected from clinical trials may not be sufficient to support the submission of a BLA or other comparable foreign submission or to obtain regulatory approval in the United States or elsewhere, or regulatory authorities may not accept a submission due to, among other reasons, the content or formatting of the submission;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or comparable foreign regulatory authorities may fail to approve our manufacturing processes or facilities or those of CDMOs with which we contract for clinical and commercial product supply;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approval policies or regulations of the FDA or comparable foreign regulatory authorities may change in a manner that renders our clinical data insufficient for approval, including, for example, as a result of positive or negative data from third parties regarding other products or product candidates.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lengthy approval process, as well as the unpredictability of clinical trial results, may prevent us from obtaining regulatory approval to market any of our product candidates, which would significantly harm our business, results of operations, and prospects. The FDA and comparable foreign regulatory authorities have substantial discretion in the approval process and in determining whether and when regulatory approval will be granted for any product candidates, including those that we may submit for approval in the future. For example, regulatory authorities in various jurisdictions have in the past had, and may in the future have, differing requirements for, interpretations of, and opinions on preclinical and clinical data, and certain regulatory authorities may more closely scrutinize our data, including our processes for maintaining the integrity of and disseminating such data, in particular, as our product candidates advance into later stages of development. We may be required to conduct additional preclinical studies, alter our proposed clinical trial designs, or conduct additional clinical trials to satisfy the regulatory authorities in each of the jurisdictions in which we hope to conduct clinical trials and develop and, if approved, market our products. In addition, from time to time, the FDA and other governmental or regulatory authorities across jurisdictions may adopt or promulgate laws, regulations, guidance, standards, or policies, or issue communications in areas applicable to various aspects of our research and development programs. Our efforts to comply with or address such laws, regulations, guidance, standards, policies, or communications could increase the time and expense required, or make it more difficult, to complete development activities and ultimately obtain regulatory approval for our product candidates. Further, certain of such laws, regulations, guidance, standards, policies, or communications may be subject to varying interpretations, which may increase our risk of potential noncompliance. Additionally, as discussed elsewhere in these Risk Factors, the FDA’s “real-time” release of newly issued CRLs, if received for any of our product candidates, could materially harm our business. In such a case, the deficiencies in our BLA may be publicly disclosed before we have an opportunity to fully evaluate or address them, and even if a CRL contains redactions, our confidential or proprietary information may be revealed, which could harm our intellectual property strategy and competitive position, trigger disclosure requirements, and increase our exposure to potential litigation.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even if we obtain approval for any of our product candidates, regulatory authorities may grant such approval for fewer or more limited indications than we request, may not approve the price we intend to charge for such product, may grant approval contingent on the performance of costly post-marketing clinical trials, or may approve such product with a label that does not include the labeling claims necessary or desirable for the successful commercialization of that product. Notably, to date, the FDA has required that any patient receiving a gene therapy be followed for 15 years post-treatment. This post-treatment follow-up, and any other requirements that the FDA or other regulatory authorities may impose for gene or cell therapy products, increases the cost and complexity of developing and ultimately commercializing such products. Any of the foregoing scenarios could materially harm the commercial prospects for our product candidates.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Certain of our product candidates may require or otherwise benefit from use of a companion diagnostic to such product candidate for efficacy, safety, or other reasons. If we or our collaborators are unable to successfully develop and obtain regulatory approval for any necessary companion diagnostics for these product candidates, or experience significant delays in doing so, we may be unable to obtain regulatory approval for, commercialize, and generate revenue from such product candidates or be unable to realize their full commercial potential.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Certain of our product candidates may require or otherwise benefit from use of a companion diagnostic to such product candidate for efficacy, safety, or other reasons. In such cases, the FDA and comparable foreign regulatory authorities may require the development and regulatory approval or clearance of at least one companion diagnostic as a condition to approving such product candidate for use in the relevant patient population. We do not have experience in or capabilities for developing or commercializing companion diagnostics and expect that, if companion diagnostics are needed for our product candidates and satisfactory companion diagnostics are not commercially available, we will need to collaborate with third-party diagnostic development collaborators to perform these functions. The process of identifying suitable collaborators and developing and obtaining approval or clearance for companion diagnostics is lengthy, costly, uncertain, and time-consuming.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Companion diagnostics are subject to regulation by the FDA and comparable foreign regulatory authorities as medical devices and may require separate regulatory approval prior to commercialization. The approval or clearance of a companion diagnostic as part of a therapeutic product’s further labeling limits the use of the therapeutic product to only those patients who express the specific characteristic that the companion diagnostic was developed to detect. For any companion diagnostic developed for use with one of our product candidates, we or our collaboration partners may experience delays in obtaining or may be unable to obtain regulatory approval or clearance for or be able to continue marketing of such companion diagnostic for various reasons, such as difficulties in manufacturing, technology transfer activities, or obtaining adequate third-party reimbursement, which could harm our business. If we or our collaboration partners are unable to obtain necessary regulatory approvals or clearance for companion diagnostics necessary for our product candidates or experience delays in doing so, we may suffer significant negative consequences that could harm our business, possibly materially,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be unable to successfully complete clinical trials of the applicable product candidate;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applicable product candidate may not receive marketing approval on a timely basis or at all, if its safe and effective use depends on use of a companion diagnostic;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not realize the full commercial potential of the applicable product candidate.</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attempt to secure approval from the FDA or comparable foreign regulatory authorities through accelerated approval pathways. If we are unable to obtain such approval, we may be required to conduct additional preclinical or clinical studies, or additional data analysis from prior studies, beyond those that we contemplate, which could increase the expense of obtaining, and delay the receipt of, necessary marketing approvals. Even if we receive approval through the FDA’s accelerated approval pathway, if our confirmatory trials or additional analysis do not verify clinical benefit, or if we do not comply with rigorous post-marketing requirements, the FDA may seek to withdraw any accelerated approval we have obtained.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in the future seek accelerated approval for one or more of our product candidates. Under the FDA’s Accelerated Approval Program, the FDA may grant accelerated approval to a product candidate designed to treat a serious or life-threatening condition that is reasonably likely to provide a meaningful therapeutic benefit over available therapies upon a determination that the product candidate has an effect on a surrogate endpoint or intermediate clinical endpoint that is reasonably likely to predict clinical benefit. The FDA considers a clinical benefit to be a positive therapeutic effect that is clinically meaningful in the context of a given disease, such as irreversible morbidity or mortality. For the purposes of accelerated approval, a surrogate endpoint is a marker, such as a laboratory measurement, radiographic image, physical sign, or other measure that is thought to predict clinical benefit, but is not itself a measure of clinical benefit. An intermediate clinical endpoint is a clinical endpoint that can be measured earlier than an effect on irreversible morbidity or mortality that is reasonably likely to predict an effect on irreversible morbidity or mortality or other clinical benefit.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accelerated approval pathway may be used in cases in which the advantage of a new drug over available therapy may not be a direct therapeutic advantage, but is a clinically important improvement from a patient and public health perspective. If granted, accelerated approval is typically contingent on the sponsor’s agreement to conduct, in a diligent manner, additional confirmatory studies or additional data analysis from prior studies to verify and describe the drug’s clinical benefit. If such post-approval confirmatory studies or additional analyses fail to confirm the drug’s clinical benefit or are not completed in a timely manner or at all, the FDA may withdraw its approval of the drug on an expedited basis.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response to certain concerns regarding the current accelerated approval pathway, Congress has considered and may in the future consider legislation that could change aspects of the accelerated approval pathway, including in ways that may have uncertain outcomes. For example, in December 2022, President Biden signed an omnibus appropriations bill to fund the United States government through fiscal year 2023, included in which is the Food and Drug Omnibus Reform Act of 2022, which, among other things, introduced reforms intended to expand the FDA’s ability to regulate products receiving accelerated approval, including by increasing the FDA’s oversight over the conduct of confirmatory studies, such as requiring the FDA to specify conditions for post-approval study requirements and setting forth procedures for the FDA to withdraw a product on an expedited basis for noncompliance with post-approval requirements. To the extent the FDA requires us to amend the design of our clinical trials or requires additional trials to meet changes in the data requirements for approval, our clinical timelines and approval will be delayed, which could have an adverse effect on our business and operations. However, the ultimate impact of these reforms remains unclear. In addition, there is uncertainty regarding the extent to which reimbursement will be available for products that receive approval through this pathway. As a result, even if we obtain approval for a product candidate through this pathway, we may not receive reimbursement at the levels we expect, which could harm our ability to generate revenue and achieve or sustain profitability. The future of the Accelerated Approval Program and any other existing or potential future accelerated approval pathways, such as the CNPV pilot program described elsewhere in these Risk Factors, is uncertain, and we cannot predict which, if any, additional changes Congress, the FDA, or other governmental authorities will make, when such changes will be adopted, or how existing or future changes will affect our business. Any such changes may alter the applicable approval requirements in ways that make it more difficult or otherwise negatively impact our ability to obtain accelerated approval for our product candidates, and could increase the burden of compliance with post-marketing requirements, each of which could increase our costs and harm our ability to commercialize our products and achieve and sustain profitability.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Prior to seeking accelerated approval for any of our product candidates, we intend to seek feedback from the FDA or comparable foreign regulatory authorities and will otherwise evaluate our ability to seek and receive accelerated approval. There can be no assurance that, after our evaluation of the feedback and other factors, we will decide or be permitted to pursue or submit a BLA for accelerated approval or any other form of expedited development, review, or approval, or that, if we decide to pursue any such pathway, our applications will be granted on a timely basis or at all. The FDA or other comparable foreign regulatory authorities could also require us to conduct further studies prior to considering our application or granting approval of any type. In addition, even if we are able to obtain accelerated approval or any other form of expedited approval for any of our product candidates, we may not obtain such approval in a timely manner or otherwise in accordance with our timelines, and the costs of obtaining such approval and performing any additional studies or analysis may be higher than we currently anticipate. Further, if the results of any such additional studies or analysis do not ultimately support full regulatory approval of the applicable product, it may be withdrawn from the market, which could harm our ability to generate revenue and otherwise negatively impact our business and financial prospects. A failure to obtain, or delay in obtaining, accelerated approval or any other form of expedited development, review, or approval for any of our product candidates would extend the period of time until commercialization, if any, of such product candidate, could increase the cost of development of such product candidate beyond what we anticipate, and could harm our competitive position in the marketplace. </w:t>
      </w:r>
    </w:p>
    <w:p>
      <w:pPr>
        <w:pStyle w:val="TextBody"/>
        <w:bidi w:val="0"/>
        <w:spacing w:before="360" w:after="283"/>
        <w:jc w:val="left"/>
        <w:rPr>
          <w:rFonts w:ascii="Times New Roman" w:hAnsi="Times New Roman"/>
          <w:sz w:val="20"/>
        </w:rPr>
      </w:pPr>
      <w:r>
        <w:rPr>
          <w:rFonts w:ascii="Times New Roman" w:hAnsi="Times New Roman"/>
          <w:b/>
          <w:i/>
          <w:color w:val="000000"/>
          <w:sz w:val="20"/>
        </w:rPr>
        <w:t>Even if our product candidates receive regulatory approval, we and such products will be subject to ongoing obligations and continued regulatory review, which may require us to incur significant additional expense. Additionally, our product candidates, if approved, could be subject to labeling and other restrictions and market withdrawal, and we may be subject to penalties if we fail to comply with regulatory requirements or experience unanticipated problems with our products.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the FDA or a comparable foreign regulatory authority approves any of our product candidates, the manufacturing processes, testing, labeling, packaging, distribution, import, export, adverse event reporting, storage, advertising, promotion, and recordkeeping for the product will be subject to extensive and ongoing legal and regulatory requirements. These requirements include submission of safety and other post-marketing information and reports, registration, as well as continued compliance with cGMP and GCP regulations for any clinical trials that we may conduct post-approval. Any regulatory approvals that we receive for our product candidates may also be subject to limitations on the approved indicated uses for which the product may be marketed or to the conditions of approval, or contain requirements for potentially costly post-marketing testing, including Phase 4 clinical trials, and surveillance to monitor the safety and efficacy of the approved product. Compliance with the requirements and limitations described in this paragraph, or any issues that arise in connection with such compliance, may require us to incur significant expense and limit our ability to timely and successfully commercialize our products.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Manufacturers and their facilities are required to comply with extensive FDA and comparable foreign regulatory authority requirements, including ensuring that quality control and manufacturing procedures conform to cGMP regulations, as well as, for the manufacture of certain of our product candidates, the FDA’s cGTP regulations for the use of human cellular and tissue products to prevent the introduction, transmission, or spread of communicable diseases. As such, we and our CDMOs will be subject to continual review and inspections to assess compliance with cGMP and cGTP regulations and adherence to commitments made in any approved marketing application. Accordingly, we and third parties that we engage or with which we conduct business must continue to expend time, money, and effort in all areas of regulatory compliance, including manufacturing, quality control, and distribution.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if we obtain approval for any of our product candidates, our product labeling, advertising, and promotion will be subject to stringent legal and regulatory requirements and continuing regulatory review. In the United States, the FDA and the FTC strictly regulate the promotional claims that may be made about pharmaceutical products to ensure that any claims about such products are consistent with regulatory approvals, not misleading or false in any particular way, and adequately substantiated by clinical data. The promotion of a drug product in a manner that is false, misleading, unsubstantiated, or for unapproved (or off-label) uses may result in enforcement letters, inquiries and investigations, and civil and criminal sanctions by the FDA or the FTC. In particular, a product may not be promoted for uses that are not approved by the FDA, as reflected in the product’s approved labeling. If we receive marketing approval for a product candidate, physicians may nevertheless prescribe it to their patients in a manner that is inconsistent with the approved label. If we are found to have promoted such off-label uses, we may be subject to significant liability. The FDA and other agencies actively enforce the laws and regulations prohibiting the promotion of off-label uses, and a company that is found to have improperly promoted off-label uses may be subject to significant sanctions and false claims litigation under federal and state statutes, which can lead to consent decrees, civil monetary penalties, restitution, criminal fines and imprisonment, and exclusion from participation in Medicare, Medicaid, and other federal and state healthcare programs. The federal government has levied large civil and criminal fines against companies for alleged improper promotion and has enjoined several companies from engaging in off-label promotion. The FDA has also requested that companies enter into consent decrees or permanent injunctions under which specified promotional conduct is changed or curtailed.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there are changes in the application of legislation or regulatory policies, or a regulatory authority subsequently discovers problems with a product, such as adverse events of unanticipated severity or frequency, or problems with the manufacturing of such product, including the facility where it is manufactured, or disagrees with the promotion, marketing, or labeling of a product, such regulatory authority may impose restrictions on that product or us, including requiring withdrawal of the product from the market. If we or one of our distributors, licensees, or co-marketers fail to comply with applicable legal or regulatory requirements, a regulatory authority may, among other things: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issue warning or untitled letters;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issue, or require us to issue, safety-related communications, such as safety alerts, field alerts, “Dear Doctor” letters to healthcare professionals, or import alerts;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impose civil or criminal fines or penalties;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suspend, limit, or withdraw regulatory approval, which could require us to conduct additional clinical trials, change our product labeling, or submit additional applications for regulatory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suspend any of our preclinical studies and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refuse to approve our pending applications or supplements to approved applications;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conduct inquiries or investigations, which could require us to expend significant time and resources in response and generate negative publicity;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impose restrictions on our operations, the product, or its manufacture, including requiring us to close our and our CDMOs’ facilities; 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impose regulatory sanctions, seize or detain products, refuse to permit the import or export of products, or require us to conduct a product recall or remove the product from the market.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any of these events were to occur or if we otherwise fail to comply with ongoing legal and regulatory requirements, our ability to commercialize and generate revenue from our product candidates could be significantly impaired and we may incur substantial additional expense, which could materially adversely affect our business, financial condition, results of operations, and the overall value of our company. Moreover, the policies of the FDA and comparable foreign regulatory authorities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judicial, or executive action, either in the United States or abroad. If we are slow or unable to adapt to changes in existing requirements or the adoption of new requirements or policies, or if we are not able to maintain regulatory compliance, we may be subject to enforcement action and we may not achieve or sustain profitability.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Disruptions at the FDA and other government agencies caused by funding shortages, global health concerns, government shutdowns, lapses in government appropriations or funding, or other factors could hinder their ability to hire, retain, or deploy key leadership and other personnel, or otherwise prevent new or modified products from being developed, approved, or commercialized in a timely manner or at all, which could negatively impact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ability of the FDA to review and approve new products may be affected by a variety of factors, including government budget and funding levels, changes in federal agency leadership, statutory, regulatory, and other governmental changes, including government administration policy actions, such as those relating to hiring and return-to-office, and policies implemented by the Department of Government Efficiency, including reduction-in-force initiatives, the FDA’s ability to hire and retain key personnel, including personnel with the expertise necessary to evaluate product candidates such as ours, and accept the payment of user fees, and other events that may otherwise affect the FDA’s ability to perform routine functions. Average review times at the FDA have fluctuated in recent years. Moreover, these and other factors have increased the uncertainties associated with interpreting the FDA’s guidance and predicting its areas of focus and responses to various issues. In addition, government funding of the FDA and other government agencies, including those that fund research and development activities, is subject to the political process, which is inherently fluid and unpredictable and could lead to changes in agency funding that make it more difficult or costly to operate our business. For example, the United States government has, and may in the future, take actions that could impact the extent to which NIH grantees can receive funds for indirect costs associated with research activities, and we cannot predict how and the extent to which any such actions may impact our business. Disruptions at the FDA and other agencies, such as staffing changes that have occurred and may occur in the future, may also extend the time necessary for new biologics or modifications to licensed biologics to be reviewed or approved by necessary government agencies, which would adversely affect our business. For example, over the last several years, the United States government has shut down several times and certain regulatory agencies, such as the FDA, have had to furlough critical FDA employees and stop critical activities. If a prolonged government shutdown, a lapse in government appropriations or funding, or other disruption occurs, or if global health concerns, staffing shortages, budget restrictions, or other factors such as those described above prevent the FDA or comparable foreign regulatory authorities from conducting their normal operations, such as regular inspections, reviews, or other regulatory activities, it could significantly impact the ability of the FDA or comparable foreign regulatory authorities to timely review and process our regulatory submissions. Such factors could also harm the ability of other government agencies with which we interact in the normal course of business to carry out their core functions. The occurrence of any of the foregoing could have a material adverse effect on our business. </w:t>
      </w:r>
    </w:p>
    <w:p>
      <w:pPr>
        <w:pStyle w:val="TextBody"/>
        <w:bidi w:val="0"/>
        <w:spacing w:before="360" w:after="283"/>
        <w:jc w:val="left"/>
        <w:rPr>
          <w:rFonts w:ascii="Times New Roman" w:hAnsi="Times New Roman"/>
          <w:sz w:val="20"/>
        </w:rPr>
      </w:pPr>
      <w:r>
        <w:rPr>
          <w:rFonts w:ascii="Times New Roman" w:hAnsi="Times New Roman"/>
          <w:b/>
          <w:i/>
          <w:color w:val="000000"/>
          <w:sz w:val="20"/>
        </w:rPr>
        <w:t>Our business operations and current and future relationships with healthcare professionals, healthcare facilities and institutions, clinical investigators, consultants, vendors, customers, and third-party payors in the United States and elsewhere are subject to applicable anti-kickback, fraud and abuse, false claims, physician payment transparency, and other healthcare laws and regulations, which could expose us to substantial penalties, contractual damages, reputational harm, administrative burdens, and diminished profits.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Healthcare providers, healthcare facilities and institutions, physicians, and third-party payors in the United States and elsewhere will play a primary role in the recommendation and prescription of any product candidates for which we may obtain marketing approval. Our current and future arrangements with healthcare professionals, healthcare facilities and institutions, clinical investigators, consultants, customers, and third-party payors may expose us to broadly applicable fraud and abuse and other healthcare laws, including the federal Anti-Kickback Statute and the federal False Claims Act, that may constrain the business or financial arrangements and relationships through which we research, sell, market, and distribute any product candidates for which we obtain marketing approval. In addition, we may be subject to physician payment transparency laws and regulation by the federal and state governments and by foreign jurisdictions in which we conduct our business. The applicable federal, state, and foreign healthcare laws that affect our ability to operate include, but are not limited to, the following: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 xml:space="preserve">the federal Anti-Kickback Statute, which prohibits, among other things, persons or entities from knowingly and willfully soliciting, offering, receiving, or providing any remuneration (including any kickback, bribe, or certain rebate), directly or indirectly, overtly or covertly, in cash or in kind, to induce or reward, or in return for, either the referral of an individual for, or the purchase, lease, order, or recommendation of, any good, facility, item, or service, for which payment may be made, in whole or in part, under any United States federal healthcare program, such as Medicare and Medicaid. The term “remuneration” has been broadly interpreted to include anything of value, including stock options. The federal Anti-Kickback Statute has also been interpreted to apply to arrangements between pharmaceutical manufacturers on the one hand and prescribers, purchasers, and formulary managers on the other hand. There are a number of statutory exceptions and regulatory safe harbors protecting some common activities from prosecution, but the exceptions and safe harbors are drawn narrowly and require strict compliance in order to offer protection. Any arrangements with prescribers must be for </w:t>
      </w:r>
      <w:r>
        <w:rPr>
          <w:rFonts w:ascii="Times New Roman" w:hAnsi="Times New Roman"/>
          <w:i/>
          <w:color w:val="000000"/>
          <w:sz w:val="20"/>
        </w:rPr>
        <w:t>bona fide</w:t>
      </w:r>
      <w:r>
        <w:rPr>
          <w:color w:val="000000"/>
        </w:rPr>
        <w:t xml:space="preserve"> </w:t>
      </w:r>
      <w:r>
        <w:rPr>
          <w:rFonts w:ascii="Times New Roman" w:hAnsi="Times New Roman"/>
          <w:color w:val="000000"/>
          <w:sz w:val="20"/>
        </w:rPr>
        <w:t xml:space="preserve">services and compensated at fair market value. A person or entity does not need to have actual knowledge of the statute or specific intent to violate it in order to have committed a violation;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 xml:space="preserve">the United States federal civil and criminal false claims laws, including the civil False Claims Act, which can be enforced by private citizens on behalf of the United States federal government through civil whistleblower or </w:t>
      </w:r>
      <w:r>
        <w:rPr>
          <w:rFonts w:ascii="Times New Roman" w:hAnsi="Times New Roman"/>
          <w:i/>
          <w:color w:val="000000"/>
          <w:sz w:val="20"/>
        </w:rPr>
        <w:t>qui tam</w:t>
      </w:r>
      <w:r>
        <w:rPr>
          <w:color w:val="000000"/>
        </w:rPr>
        <w:t xml:space="preserve"> </w:t>
      </w:r>
      <w:r>
        <w:rPr>
          <w:rFonts w:ascii="Times New Roman" w:hAnsi="Times New Roman"/>
          <w:color w:val="000000"/>
          <w:sz w:val="20"/>
        </w:rPr>
        <w:t xml:space="preserve">actions, and the federal civil monetary penalties law which prohibit, among other things, individuals or entities from knowingly presenting, or causing to be presented, to the United States federal government, claims for payment or approval that are false or fraudulent, knowingly making, using, or causing to be made or used, a false record or statement material to a false or fraudulent claim, or from knowingly making a false statement to avoid, decrease, or conceal an obligation to pay money to the United States federal government. Pharmaceutical manufacturers can cause false claims to be presented to the United States federal government by, among other things, engaging in impermissible marketing practices, such as the off-label promotion of a product for an indication for which it has not received FDA approval. Further, pharmaceutical manufacturers can be held liable under the civil False Claims Act even when they do not submit claims directly to government payors if they are deemed to “cause” the submission of false or fraudulent claims. In addition, the government may assert that a claim including items and services resulting from a violation of the federal Anti-Kickback Statute constitutes a false or fraudulent claim for purposes of the civil False Claims Act;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federal Health Insurance Portability and Accountability Act of 1996 (HIPAA), which imposes criminal and civil liability for,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Similar to the federal Anti-Kickback Statute, a person or entity does not need to have actual knowledge of the healthcare fraud statute implemented under HIPAA or specific intent to violate it in order to have committed a violation;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Federal Food, Drug, and Cosmetic Act, which prohibits, among other things, the adulteration or misbranding of drugs, biologics, and medical devices;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United States Public Health Service Act, which prohibits, among other things, the introduction into interstate commerce of a biological product unless a biologics license is in effect for that product;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United States Physician Payments Sunshine Act and its implementing regulations, which require, among other things, certain manufacturers of drugs, devices, biologics, and medical supplies that are reimbursable under Medicare, Medicaid, or the Children’s Health Insurance Program, with specific exceptions, to report annually to the Centers for Medicare and Medicaid Services (CMS) information related to certain payments and other transfers of value to physicians, as defined by statute, certain non-physician practitioners (including physician assistants, nurse practitioners, clinical nurse specialists, certified nurse anesthetists, anesthesiologist assistants, and certified nurse-midwives), and teaching hospitals, as well as ownership and investment interests held by such physicians and their immediate family members;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analogous United States state laws and regulations, including: state anti-kickback and false claims laws, which may apply to our business practices, including research, distribution, sales and marketing arrangements, and claims involving healthcare items or services reimbursed by any third-party payor, including private insurers; state laws that require pharmaceutical companies to comply with the pharmaceutical industry’s voluntary compliance guidelines and the relevant compliance guidance promulgated by the United States federal government, or otherwise restrict payments that may be made to healthcare providers and other potential referral sources; state laws and regulations that require drug manufacturers to file reports relating to pricing and marketing information, which requires tracking gifts and other remuneration and items of value provided to healthcare professionals and entities; and state and local laws requiring the registration of pharmaceutical sales representatives;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similar healthcare laws and regulations in foreign jurisdictions, including reporting requirements detailing interactions with and payments to healthcare providers.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Ensuring that our internal operations and business arrangements with third parties comply with applicable healthcare laws and regulations will involve substantial costs. We have entered into, and expect to enter into in the future, consulting and scientific and clinical advisory board arrangements with physicians and other healthcare providers, including some who could influence the use of our product candidates, if approved. Compensation under some of these arrangements may include the provision of stock options or other equity in addition to or in lieu of cash consideration. Because of the complex and far-reaching nature of these laws, it is possible that governmental authorities could conclude that our payments to physicians may not be fair market value for </w:t>
      </w:r>
      <w:r>
        <w:rPr>
          <w:rFonts w:ascii="Times New Roman" w:hAnsi="Times New Roman"/>
          <w:i/>
          <w:color w:val="000000"/>
          <w:sz w:val="20"/>
        </w:rPr>
        <w:t>bona fide</w:t>
      </w:r>
      <w:r>
        <w:rPr>
          <w:rFonts w:ascii="Times New Roman" w:hAnsi="Times New Roman"/>
          <w:color w:val="000000"/>
          <w:sz w:val="20"/>
        </w:rPr>
        <w:t xml:space="preserve"> services or that our business practices do not comply with current or future statutes, regulations, agency guidance, or case law involving applicable fraud and abuse or other healthcare laws and regulations. For example, these relationships and any related compensation could result in perceived or actual conflicts of interest, or the FDA’s determination that the financial relationship affected the conduct or interpretation of one of our preclinical studies or clinical trials. In such a case, the integrity of the data generated from such preclinical study or clinical trial may be questioned and the utility of the preclinical study or clinical trial itself may be jeopardized, which could result in the delay or rejection by the FDA of any regulatory submissions related to our product candidates. Any such delay or rejection could prevent us from commercializing our product candidates.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our operations are found to be in violation of any of the laws described above or any other governmental laws and regulations that may apply to us, we may be subject to significant penalties, including civil, criminal, and administrative penalties, damages, fines, exclusion from government-funded healthcare programs, such as Medicare and Medicaid, or similar programs in other countries or jurisdictions, integrity oversight and reporting obligations to resolve allegations of noncompliance, disgorgement, imprisonment, contractual damages, reputational harm, diminished profits, and the curtailment or restructuring of our operations. Further, defending against any governmental actions can be costly and time-consuming and may require significant personnel resources. Therefore, even if we are successful in defending against any such actions, our business may be impaired. In addition, if any of the physicians or other providers or entities with whom we expect to do business are found to violate applicable laws or regulations, they may be subject to criminal, civil, or administrative sanctions, including exclusions from government funded healthcare programs and imprisonment, which could affect our ability to operate our business. </w:t>
      </w:r>
    </w:p>
    <w:p>
      <w:pPr>
        <w:pStyle w:val="TextBody"/>
        <w:bidi w:val="0"/>
        <w:spacing w:before="360" w:after="283"/>
        <w:jc w:val="left"/>
        <w:rPr>
          <w:rFonts w:ascii="Times New Roman" w:hAnsi="Times New Roman"/>
          <w:sz w:val="20"/>
        </w:rPr>
      </w:pPr>
      <w:r>
        <w:rPr>
          <w:rFonts w:ascii="Times New Roman" w:hAnsi="Times New Roman"/>
          <w:b/>
          <w:i/>
          <w:color w:val="000000"/>
          <w:sz w:val="20"/>
        </w:rPr>
        <w:t>Our employees, independent contractors, principal investigators, consultants, vendors, commercial partners, and other third parties that we engage or with which we collaborate may engage in misconduct or other improper activities, including noncompliance with regulatory standards and requirements.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exposed to the risk of fraud and other misconduct committed by our personnel and third parties that we engage or with which we collaborate in the course of our operations, including our employees, independent contractors, principal investigators, consultants, vendors, and commercial partners. It is not always possible to identify and deter misconduct or business noncompliance by such parties. We cannot ensure that precautions we take to detect and prevent inappropriate conduct, including our compliance controls, policies, and procedures, will in every instance protect us or be effective in controlling unknown or unmanaged risks or losses or in protecting us from governmental investigations or other actions or lawsuits stemming from unlawful acts committed by such parties in the jurisdictions in which we operate, including trade restrictions and sanctions and employment, foreign corrupt practices, environmental, competition, and patient privacy and other data privacy and protection laws and regulations. Misconduct by any such third parties could include failures to comply with FDA regulations, provide accurate information to the FDA, comply with manufacturing standards we may establish, report financial information or data accurately, comply with federal and state healthcare fraud and abuse laws and regulations, including prohibitions on pricing, discounting, labeling, marketing and promotion, sales commission, customer incentive programs, and other business arrangements, or disclose unauthorized activities to us. Such misconduct could also involve the improper use of information obtained in the course of clinical trials, which could result in regulatory sanctions and serious harm to our reputation.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any actions are instituted against us as a result of such misconduct or noncompliance, and we are not successful in defending ourselves or asserting our rights, those actions could have a material adverse effect on our business, financial condition, results of operations, and prospects. For example, we may be subject to or experience significant civil, criminal, and administrative penalties, damages, monetary fines, individual imprisonment, disgorgement of profits, possible exclusion from participation in Medicare, Medicaid, and other federal healthcare programs, contractual damages, reputational harm, diminished profits and future earnings, additional reporting or oversight obligations if we become subject to a corporate integrity agreement or other agreement to resolve allegations of noncompliance with the law, and curtailment or restructuring of our operations, any of which could adversely affect our ability to operate our business and pursue our strategy. </w:t>
      </w:r>
    </w:p>
    <w:p>
      <w:pPr>
        <w:pStyle w:val="TextBody"/>
        <w:bidi w:val="0"/>
        <w:spacing w:before="360" w:after="283"/>
        <w:jc w:val="left"/>
        <w:rPr>
          <w:rFonts w:ascii="Times New Roman" w:hAnsi="Times New Roman"/>
          <w:sz w:val="20"/>
        </w:rPr>
      </w:pPr>
      <w:r>
        <w:rPr>
          <w:rFonts w:ascii="Times New Roman" w:hAnsi="Times New Roman"/>
          <w:b/>
          <w:i/>
          <w:color w:val="000000"/>
          <w:sz w:val="20"/>
        </w:rPr>
        <w:t>Current and future legislation may increase the difficulty and cost for us and any future collaborators to obtain marketing approval of and commercialize our product candidates and affect the prices we, or they, may charge for such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United States and other jurisdictions, there have been, and we expect there will continue to be, a number of legislative and regulatory changes and proposed changes to the healthcare system that could affect our future results of operations. In particular, there have been and continue to be a number of initiatives at the United States federal and state levels that seek to reduce healthcare costs and improve the quality of healthcare. For example, the Patient Protection and Affordable Care Act (the ACA), enacted in 2010, substantially changed the way healthcare is financed by both governmental and private payors. Among the provisions of the ACA of importance to the pharmaceutical and biotechnology industries, which includes biologics, are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increase in the minimum level of Medicaid rebates payable by manufacturers of brand name drugs from 15.1% to 23.1% of the average manufacturer price;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expansion of the manufacturer Medicaid rebate obligation to drugs paid by Medicaid managed care organizations;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requirement for manufacturers to participate in a coverage gap discount program, under which they must agree to offer 70% point-of-sale discounts off negotiated prices of applicable brand drugs to eligible beneficiaries during their coverage gap period, as a condition for the manufacturer’s outpatient drugs to be covered under Medicare Part 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non-deductible annual fee on pharmaceutical manufacturers or importers who sell “branded prescription drugs” to specified federal government programs;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new Patient-Centered Outcomes Research Institute to oversee, identify priorities in, and conduct comparative clinical effectiveness research, along with funding for such research;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establishment of a Center for Medicare and Medicaid Innovation at CMS to test innovative payment and service delivery models to lower Medicare and Medicaid spending, potentially including prescription drug spending;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licensure framework for follow-on biologic products.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Since its enactment, there have been judicial, executive, and Congressional challenges to certain aspects of the ACA. On June 17, 2021, the United States Supreme Court dismissed the most recent judicial challenge to the ACA without specifically ruling on the constitutionality of the ACA. Thus, the ACA will remain in force in its current form.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Other legislative changes have been proposed and adopted in the United States since the ACA was enacted, including aggregate reductions of Medicare payments to providers through 2032. </w:t>
      </w:r>
      <w:r>
        <w:rPr>
          <w:rFonts w:ascii="Times New Roman" w:hAnsi="Times New Roman"/>
          <w:color w:val="231F20"/>
          <w:sz w:val="20"/>
        </w:rPr>
        <w:t xml:space="preserve">In addition, </w:t>
      </w:r>
      <w:r>
        <w:rPr>
          <w:rFonts w:ascii="Times New Roman" w:hAnsi="Times New Roman"/>
          <w:color w:val="000000"/>
          <w:sz w:val="20"/>
        </w:rPr>
        <w:t>the American Rescue Plan Act of 2021 eliminated the statutory Medicaid drug rebate cap. Elimination of this cap may require pharmaceutical manufacturers to pay more in rebates than they receive on the sale of products, which could have a material impact on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Most significantly, on August 16, 2022, President Biden signed the IRA into law. This statute marks the most significant action by Congress with respect to the pharmaceutical industry since adoption of the ACA in 2010. Among other things, the IRA requires, beginning in 2026, manufacturers of certain drugs to engage in price negotiations with Medicare, with prices that can be negotiated subject to a cap; imposes rebates, first due in 2023, under Medicare Part B and Medicare Part D to penalize price increases that outpace inflation; and, effective in 2025, replaces the Part D coverage gap discount program with a new discounting program. The IRA permits the Secretary of HHS to implement many of these provisions through guidance, as opposed to regulation, for the initial years. HHS has issued and will continue to issue and update guidance as these programs are implemented. Only high-expenditure single-source drugs that have been approved for at least seven years (11 years for single-source biologics) can qualify for negotiation, with the negotiated price taking effect two years after the selection year. For 2026, the first year in which negotiated prices become effective, CMS selected ten high-cost Medicare Part D drugs in 2023, negotiations began in 2024, and the negotiated maximum fair price for each drug has been announced. CMS has selected 15 additional Medicare Part D drugs for negotiated maximum fair pricing in 2027. For 2028, up to an additional 15 drugs, which may be covered under either Medicare Part B or Part D, will be selected, and for 2029 and subsequent years, up to 20 additional Part B or Part D drugs will be selected. Various industry stakeholders, including certain pharmaceutical companies and the Pharmaceutical Research and Manufacturers of America, have initiated lawsuits against the federal government asserting that the price negotiation provisions of the IRA are unconstitutional. The impact of the IRA and ongoing and future legislative, executive, judicial, and administrative actions and any healthcare measures and agency rules on the pharmaceutical industry generally, and on our business specifically, is uncertain. If we obtain regulatory approval for any of our product candidates, the IRA could substantially and negatively impact the prices we may charge for such products, which could harm our ability to generate revenue and achieve and sustain profitability.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the One Big Beautiful Bill Act (OBBBA), which was signed into law on July 4, 2025, includes provisions that will impact the United States healthcare system in various ways. For example, the OBBBA is expected to significantly reshape the Medicaid program, including by introducing new work and eligibility requirements and changes to Medicaid payment and financing. Although the full impact of the OBBBA on the healthcare system and our business is uncertain, we may face increased costs and complexity in completing clinical development of and commercializing any product candidates for which we may receive regulatory approval, which could adversely affect our business and prospects.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Additionally, individual states in the United States have passed legislation and implemented regulations designed to control pharmaceutical and biological product pricing and costs. Similar developments have occurred outside of the United States, including in the EU where healthcare budgetary constraints have resulted in restrictions on the pricing and reimbursement of medicines by relevant health service providers. To obtain reimbursement or pricing approval in some EU member states, we may be required to conduct studies that compare the cost-effectiveness of our product candidates to other therapies that are considered the local standard of care.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Further, there have been a number of, and there may in the future be, other policy, legislative, and regulatory proposals aimed at changing the pharmaceutical industry. The United States government, state legislatures, and foreign governmental entities have shown significant interest in implementing cost containment programs to limit the growth of government-paid healthcare costs, including price controls, restrictions on reimbursement and coverage, drug importation programs and proposals, and requirements for substitution of generic products for branded prescription drugs. For example, the current government administration has introduced various measures to address prescription drug pricing and access, including through issuance of an executive order aiming to establish a “most-favored-nation” drug pricing policy that would tie United States drug prices to the prices paid for drugs in other countries, which has prompted and may lead to additional government and industry action in furtherance this policy, including agreements between the government and major pharmaceutical companies designed to bring American drug prices in line with the lowest price paid by other developed nations and the potential rollout of direct-to-consumer drug purchasing programs and platforms. In particular, the current administration has directed the Secretary of HHS to establish a mechanism through which American patients can buy drugs directly from manufacturers who sell at a most-favored-nation price and directed the United States Trade Representative and Secretary of Commerce to take action to ensure foreign countries are not engaged in practices that purposefully and unfairly undercut market prices and drive price hikes in the U.S. In addition, in November 2025, CMS announced a voluntary initiative called the GENEROUS Model (GENErating cost Reductions fOr U.S. Medicaid Model) to introduce the option of most-favored-nation pricing to the Medicaid program, whereby a drug manufacturer may voluntarily offer supplemental rebates to participating state Medicaid programs for a manufacturer’s covered outpatient drugs. Government agreements with pharmaceutical companies and other measures that use most-favored-nation pricing targets for prescription drugs or that increase generic and biosimilar drug entry sooner than expected could have a material adverse effect on our industry and our business generally, including by harming our ability to set adequate pricing for new drugs to recover research and development costs, our ability to attract potential investors and potential buyers in the future, or the pricing of any of our approved products in the United States or in foreign countries, and discouraging the commercialization of products outside of the United States. The timing and extent of implementation of any of the measures described above is uncertain and we cannot fully predict their impact on our product candidates and our business. However, the adoption of these and any other government controls and measures, and tightening of restrictive policies in jurisdictions with existing controls and measures, could exclude or limit our product candidates from coverage, limit payments for pharmaceuticals, and impact healthcare systems and drug markets in the United States and abroad.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In addition, the policies of the FDA and of comparable foreign regulatory authorities may change and additional laws, regulations, and government actions may be enacted that could prevent, limit, or delay regulatory approval of our product candidates. We cannot predict the likelihood, nature, or extent of government regulation that may arise from future legislation or administrative, judicial, or executive action, either in the United States or abroad. In June 2024, the Supreme Court overturned the </w:t>
      </w:r>
      <w:r>
        <w:rPr>
          <w:rFonts w:ascii="Times New Roman" w:hAnsi="Times New Roman"/>
          <w:i/>
          <w:color w:val="000000"/>
          <w:sz w:val="20"/>
        </w:rPr>
        <w:t xml:space="preserve">Chevron </w:t>
      </w:r>
      <w:r>
        <w:rPr>
          <w:rFonts w:ascii="Times New Roman" w:hAnsi="Times New Roman"/>
          <w:color w:val="000000"/>
          <w:sz w:val="20"/>
        </w:rPr>
        <w:t xml:space="preserve">doctrine, which gave deference to regulatory agencies' statutory interpretations of ambiguous federal laws in litigation against these agencies, including the FDA. This landmark decision may invite more companies or other stakeholders to bring lawsuits against the FDA to challenge its longstanding decisions and policies, including its statutory interpretations of market exclusivities and the “substantial evidence” requirements for drug approvals, and could undermine its authority, increase the difficulty of enforcing FDA regulations, disrupt its normal operations, lead to longer review and decision-making timelines, and lead to uncertainties in the industry, which could delay FDA review of any regulatory submissions we may submit for our product candidates. We cannot predict the full impact of this decision, future challenges brought against the FDA, or the nature or extent of government regulation that may arise from future legislation or administrative, judicial, or other governmental action, including under the current government administration.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Moreover, currently enacted legislation may not be renewed once it expires, which may make it more difficult for us to obtain regulatory approval for and commercialize our product candidates. For example, the Prescription Drug User Fee Act (PDUFA) was enacted by Congress in 1992 to allow the FDA to collect fees from parties that produce certain human drug and biological products. Among other things, the fees collected under PDUFA provide for the timely review of regulatory submissions, such as BLAs. PDUFA has been renewed multiple times since its enactment, including at the end of September 2022, which has allowed the FDA to continue collecting prescription drug user fees. However, there is no guarantee that the most recent renewal will continue without modification or that future renewals will occur in a timely manner, if at all, including, for example, due to recent and potential future government administration actions and policy changes. In addition, there may be amendments to PDUFA that could significantly affect how regulatory submissions are reviewed, and we cannot predict the extent of such amendments and how they will affect our business. For example, the FDA has proposed certain changes to the PDUFA fee structure designed to incentivize clinical development in the United States, which, if implemented, could increase our costs with respect to any programs for which we conduct development outside of the United States. If PDUFA is not renewed or its renewal is delayed, or if PDUFA is amended in certain ways, the FDA’s ability to review any regulatory submissions and related correspondence for our product candidates may be materially adversely impacted, which could negatively impact our development timelines and ability to obtain regulatory approval of our product candidates.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the EU, similar developments may affect our ability to profitably commercialize our product candidates, if approved. In addition to continuing pressure on prices and cost containment measures, legislative developments at the EU or member state level may result in significant additional requirements or obstacles that may increase our operating costs. The delivery of healthcare in the EU, including the establishment and operation of health services and the pricing and reimbursement of medicines, is almost exclusively a matter for national, rather than EU, law and policy. National governments and health service providers have different priorities and approaches to the delivery of health care and the pricing and reimbursement of products in that context. In general, however, the healthcare budgetary constraints in most EU member states have resulted in restrictions on the pricing and reimbursement of medicines by relevant health service providers. Coupled with ever-increasing EU and national regulatory burdens on those wishing to develop and market products, this could prevent or delay marketing approval of our product candidates, restrict or regulate post-approval activities and affect our ability to commercialize our product candidates, if approved. In markets outside of the United States and EU, reimbursement and healthcare payment systems vary significantly by country, and many countries have instituted price ceilings on specific products and therapies.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December 13, 2021, Regulation 2021/2282 on Health Technology Assessment (HTA) amending Directive 2011/24/EU (the Regulation), was adopted in the EU. While the Regulation entered into force in January 2022, from January 31, 2025, or the end of the transition period, any trials approved under the Clinical Trials Directive that continue running must comply with the Regulation, and their sponsors must enter information on the trials in the CTIS, which provides a single-entry point for sponsors and regulators of clinical trials for the submission and assessment of clinical trial data. The Regulation intends to boost cooperation among EU member states in assessing health technologies, including new medicinal products, and providing the basis for cooperation at the EU level for joint clinical assessments in these areas. The Regulation will permit EU member states to use common HTA tools, methodologies, and procedures across the EU, working together in four main areas, including joint clinical assessment of the innovative health technologies with the most potential impact for patients, joint scientific consultations whereby developers can seek advice from HTA authorities, identification of emerging health technologies to identify promising technologies early, and continuing voluntary cooperation in other areas. Individual EU member states will continue to be responsible for assessing non-clinical (e.g., economic, social, and ethical) aspects of health technology, and making decisions on pricing and reimbursement.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the UK, the former 2019 Voluntary Scheme for Branded Medicines Pricing and Access (VPAS) scheme for cost containment of branded National Health Service (NHS) prescription medicines ended in 2023, and has been replaced by the 2024-2028 Voluntary Scheme for Branded Medicines Pricing, Access and Growth (VPAG) scheme. VPAG is an agreement between the UK government, the NHS, and the pharmaceutical industry, pursuant to which the pharmaceutical industry commits to returning NHS overspend based on sales of branded prescription medicines (innovative brands, branded generics, and biosimilars) when a maximum sales growth rate is exceeded. The rebate calculations use a product-by-product assessment that classifies branded medicines as either “new active substances,” “newer medicines,” or “older medicines” based on a set of rules. All companies selling branded prescription medicines in the UK can, but are not required to, be members of VPAG. Once they join, companies remain in the scheme and any decision to leave in the following year must be made three months before the calendar year ends. A statutory scheme, which is intended to be broadly commercially equivalent to VPAG, runs alongside VPAG for companies that do not choose to join or remain in VPAG. However, because changes can be made to the statutory scheme at any point after a short public consultation, it does not provide the same stability as the five-year VPAG.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cannot predict the likelihood, nature, or extent of government regulation that may arise from future legislation or administrative, judicial, or executive action in the United States or any other jurisdiction. If we or any third parties we may engage or with which we collaborate are slow or unable to adapt to changes in existing requirements or the adoption of new requirements or policies, or if we or such third parties are not able to maintain regulatory compliance, our product candidates may be unable to obtain regulatory approval or lose any regulatory approval that may have been obtained, and we may not achieve or sustain profitability. </w:t>
      </w:r>
    </w:p>
    <w:p>
      <w:pPr>
        <w:pStyle w:val="TextBody"/>
        <w:bidi w:val="0"/>
        <w:spacing w:before="360" w:after="283"/>
        <w:jc w:val="left"/>
        <w:rPr>
          <w:rFonts w:ascii="Times New Roman" w:hAnsi="Times New Roman"/>
          <w:sz w:val="20"/>
        </w:rPr>
      </w:pPr>
      <w:r>
        <w:rPr>
          <w:rFonts w:ascii="Times New Roman" w:hAnsi="Times New Roman"/>
          <w:b/>
          <w:i/>
          <w:color w:val="000000"/>
          <w:sz w:val="20"/>
        </w:rPr>
        <w:t>Even if we are able to commercialize any product candidate, coverage and adequate reimbursement may not be available or such product candidate may become subject to unfavorable pricing regulations or third-party coverage and reimbursement policies, which would harm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regulations that govern regulatory approvals, pricing, and reimbursement for drug products vary widely from country to country. Some countries require approval of the sale price of a drug product before it can be marketed. In many countries, the pricing review period begins after marketing approval is granted. In some foreign markets, prescription drug product pricing remains subject to continuing governmental control even after initial approval is granted. As a result, we might obtain regulatory approval for a product in a particular country, but then be subject to price regulations that delay our commercial launch of the product, possibly for lengthy time periods, and negatively impact the revenues we are able to generate from the sale of the product in that country. Adverse pricing limitations may hinder our ability to recoup our investment in one or more product candidates, even if our product candidates obtain regulatory approval.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ability to commercialize any products successfully also will depend in part on the extent to which coverage and adequate reimbursement for these products and related treatments will be available from third-party payors, such as government authorities, private health insurers, and other organizations, which consider various factors in determining the level of coverage and reimbursement, including the nature of the disease to be treated, the availability and cost of other therapies for the same disease, and the size of the patient population that could benefit from such treatment. In particular, we may face challenges commercializing products that we develop as functional cures for particular diseases, which raise unique coverage and reimbursement considerations relative to more traditional therapies. Even if we succeed in bringing one or more products to the market, these products may not be considered cost-effective, and the amount reimbursed for any products may be insufficient to allow us to sell our products on a competitive basis. For example, the cost of treatment with our product candidates, including those developed as functional cures, may be expensive or more costly than other available treatment options, in particular, because such product candidates may require only a single or minimal number of administrations. Even if treatment costs are partially offset by coverage from third-party payors, required co-payments or deductibles may cause treatment with such product candidates to be too expensive for certain patients. Because our product candidates are in the early stages of development, we are currently unable to determine their cost effectiveness or the likely level or method of coverage and reimbursement. Increasingly, the third-party payors that reimburse patients or healthcare providers are requiring that drug companies provide these payors with predetermined discounts from list prices and are seeking to reduce the prices charged or the amounts reimbursed for drug products. If the price we are able to charge for any products we develop, or the coverage and reimbursement provided for such products, is inadequate in light of our development and other costs, our return on investment could be adversely affected.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There may be significant delays in obtaining reimbursement for newly-approved drug products, and coverage may be more limited than the purposes for which the drug product is approved by the FDA or comparable foreign regulatory authorities. Moreover, eligibility for reimbursement does not imply that any product for which we receive regulatory approval will be reimbursed in all cases or at a rate that covers our costs, including for research, development, manufacture, sale, and distribution.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Interim reimbursement levels for new drug products, if applicable, may also be insufficient to cover our costs and may not be made permanent. Reimbursement rates may be based on payments allowed for lower cost drug products that are already reimbursed, may be incorporated into existing payments for other services, and may reflect budgetary constraints or imperfections in Medicare data. Net prices for drug products may be reduced by mandatory discounts or rebates required by third-party payors and by any future relaxation of laws that presently restrict imports of drug products from countries where they may be sold at lower prices than in the United States. Obtaining coverage and adequate reimbursement for our product candidates may be particularly difficult because of the higher prices often associated with drugs administered under the supervision of a physician. For our product candidates that are intended to be administered by a physician (for example, via injection or transplantation), separate reimbursement for the product itself may or may not be available. Instead, the administering physician may or may not be reimbursed for providing the treatment or procedure in which our product is used.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Further, no uniform policy for coverage and reimbursement exists in the United States, and coverage and reimbursement can differ significantly from payor to payor. Third-party payors often follow Medicare coverage policy and payment limitations in setting their own reimbursement rates, but also have their own methods and approval process apart from Medicare determinations. As a result, the coverage determination process is often time-consuming and costly and will likely require us to provide scientific and clinical support for the use of our product candidates to each payor separately, with no assurance that coverage and adequate reimbursement will be applied consistently or obtained in the first instance. Decisions regarding the extent of coverage and amount of reimbursement to be provided for any product candidates that we develop will be made on a payor-by-payor basis. One payor’s determination to provide coverage for a drug does not assure that other payors will also provide coverage and adequate reimbursement for the drug. Additionally, a third-party payor’s decision to provide coverage for a therapy does not imply that an adequate reimbursement rate will be approved.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discussed elsewhere in these Risk Factors, there have been, and likely will continue to be, legislative, regulatory, and other governmental proposals at the foreign, federal, and state levels directed at broadening the availability of healthcare and containing or lowering the cost of healthcare. We cannot predict what initiatives may be adopted in the future. The continuing efforts of the government, insurance companies, managed care organizations, and other payors of healthcare services to contain or reduce costs of healthcare or impose price controls may adversely affect: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demand for any of our product candidates that may receive regulatory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set a price for our approved products that we believe is fair;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obtain coverage and reimbursement approval for an approved product;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generate revenue and achieve or maintain profitability;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level of taxes that we are required to pay;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availability of capital.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Additionally, companion diagnostic tests that we or our collaborators may develop require coverage and reimbursement separate and apart from the coverage and reimbursement for their companion pharmaceutical or biologics products. Similar challenges to obtaining coverage and reimbursement applicable to pharmaceutical or biologics products will apply to companion diagnostic tests. Our inability to promptly obtain coverage and adequate reimbursement from third-party payors for the product candidates that we may develop and for which we obtain regulatory approval or any companion diagnostics that we or our collaborators may develop could have a material and adverse effect on our business, financial condition, results of operations, and prospects. </w:t>
      </w:r>
    </w:p>
    <w:p>
      <w:pPr>
        <w:pStyle w:val="TextBody"/>
        <w:bidi w:val="0"/>
        <w:spacing w:before="360" w:after="283"/>
        <w:jc w:val="left"/>
        <w:rPr>
          <w:rFonts w:ascii="Times New Roman" w:hAnsi="Times New Roman"/>
          <w:sz w:val="20"/>
        </w:rPr>
      </w:pPr>
      <w:r>
        <w:rPr>
          <w:rFonts w:ascii="Times New Roman" w:hAnsi="Times New Roman"/>
          <w:b/>
          <w:i/>
          <w:color w:val="000000"/>
          <w:sz w:val="20"/>
        </w:rPr>
        <w:t>We face potential liability related to the privacy of personal information, including health information we utilize in the development of products developed from our ex vivo cell engineering platform, as well as information we may obtain from research institutions participating in clinical trials involving our product candidates or technologies and directly from individuals.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and our partners and vendors are subject to various federal, state, and foreign laws and regulations relating to data protection, privacy, and security. If we fail, or are alleged to fail, to comply with these laws and regulations, we may be subject to litigation, regulatory investigations, enforcement notices, enforcement actions, fines, and criminal or civil penalties, as well as negative publicity, reputational harm, and potential loss of business.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the United States, our and our partners’ and vendors’ operations are subject to numerous federal and state laws and regulations, including state data breach notification laws and federal and state data privacy laws and regulations that govern the collection, use, disclosure, and protection of health information and other personal information. For example, most healthcare providers, including research institutions from which we may obtain patient health information, are subject to data privacy and security regulations promulgated under HIPAA, as amended by the Health Information Technology for Economic and Clinical Health Act of 2009 (HITECH). Depending on the facts and circumstances, we could be subject to significant penalties if we violate HIPAA. For example, under HIPAA, we could potentially face substantial criminal or civil penalties if we knowingly receive protected health information from a HIPAA-covered healthcare provider or research institution that has not satisfied HIPAA’s requirements for disclosure of such health information, or otherwise violate applicable HIPAA requirements related to the protection of such information. Even when HIPAA does not apply, failure to take reasonable steps to keep consumers’ personal information secure may constitute a violation of the Federal Trade Commission Act.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Certain materials we may use in our therapeutic research and development efforts, as well as stem cell lines used as starting material in our </w:t>
      </w:r>
      <w:r>
        <w:rPr>
          <w:rFonts w:ascii="Times New Roman" w:hAnsi="Times New Roman"/>
          <w:i/>
          <w:color w:val="000000"/>
          <w:sz w:val="20"/>
        </w:rPr>
        <w:t>ex vivo</w:t>
      </w:r>
      <w:r>
        <w:rPr>
          <w:rFonts w:ascii="Times New Roman" w:hAnsi="Times New Roman"/>
          <w:color w:val="000000"/>
          <w:sz w:val="20"/>
        </w:rPr>
        <w:t xml:space="preserve"> cell engineering product candidates, are derived from human sources, which may contain sensitive identifiable personal information regarding the donor. In addition, we or our partners or vendors may maintain or otherwise have access to sensitive identifiable personal information, including health information, that we receive throughout the clinical trial process, in the course of our research collaborations, and directly from individuals (or their healthcare providers) who may enroll in our patient assistance programs, if any. We may become subject to further obligations under HIPAA as a result of our access to such information. In addition, the HIPAA Standards for Privacy of Individually Identifiable Health Information (Privacy Rule) and the Security Standards for the Protection of Electronic Protected Health Information under HIPAA and HITECH are the subjects of final and proposed rule amendments, respectively. Additionally, many provisions of the final amendments to the Privacy Rule were vacated by a federal court in June 2025, and may be the subject of further proposed amendments. We may be required to modify our policies and practices to address these and other updates to the rules implementing HIPAA and HITECH.</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our collection of personal information generally, including information of our employees, human donors, or patients, may subject us to state data privacy laws governing the processing of personal information and requiring notification to affected individuals and state regulators in the event of a data breach involving such personal information. For example, we may be subject to state laws such as the California Consumer Privacy Act (CCPA) and its related regulations, and the California Privacy Rights Act (CPRA), which establish data privacy rights for California residents, with corresponding obligations on businesses related to transparency, deletion, and opt-out of the selling of personal information, and grant a private right of action for individuals in the event of certain security breaches that has increased the likelihood of, and risks associated with, data breach litigation. The CPRA, which became effective on January 1, 2023, significantly modified the CCPA, including by expanding consumers’ rights with respect to certain sensitive personal information and imposing new audit requirements for higher risk data. The CPRA also created a state agency that is vested with authority to implement and enforce the CCPA and the CPRA, which could result in increased privacy and information security enforcement. Additional compliance investment and potential business process changes may also be required. Numerous similar laws, and other laws governing privacy and information security, such as Washington’s My Health, My Data Act, have been passed and continue to be proposed at the state and federal level, reflecting a trend toward more stringent privacy legislation in the United States. Certain state laws may be more stringent or broader in scope, or offer greater individual rights, with respect to confidential, sensitive, and personal information than federal, international, or other state laws, and such laws may differ from each other and have potentially conflicting requirements that would make compliance challenging, require us to expend significant resources to achieve compliance, and restrict our ability to process certain personal information.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clinical trial programs, including related regulatory filings, and research collaborations that we engage in outside the United States may implicate international laws and regulations concerning data protection, privacy, and security, including those governing various aspects of clinical research and, in the EU, the General Data Protection Regulation (GDPR). The GDPR imposes obligations in relation to the collection, use, sharing, disclosure, transfer, and other processing of data relating to an identifiable living individual within the European Economic Area (EEA), or “personal data,” including a principle of accountability and the obligation to demonstrate compliance through policies, procedures, training, and audit. The GDPR imposes stringent operational requirements for data controllers and data processors of personal data. Among other things, the GDPR requires that detailed notices be provided to clinical trial subjects and investigators, as well as maintenance of certain security levels for personal data and notification of data breaches or security incidents to appropriate data protection authorities or data subjects. Further, as a result of the UK’s withdrawal from the EU, we are required to comply with both the GDPR and the GDPR as incorporated into UK national law (UK GDPR) with respect to any clinical trial data generated from the EU and the UK, respectively, which may have differing requirements. Further, the UK implemented targeted amendments to its data protection framework through the UK Data (Use and Access) Act 2025 (UK Data Act), enacted on June 19, 2025, which has caused the UK’s data protection regime to deviate from the GDPR in certain respects. We may be subject to diverging requirements under EU member state laws and UK law, such as whether consent can be used as the legal basis for processing of clinical trial data and the roles, responsibilities, and liabilities and respective data protection obligations as between CROs, clinical trial sites, and sponsors. As these laws develop and the rules diverge, we may need to make operational changes to adapt, which could increase our costs and adversely affect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GDPR and UK GDPR regulate cross-border transfers of personal data out of the EEA and the UK, respectively. Recent legal developments in Europe have created complexity and uncertainty regarding the legality of and requirements with respect to transfers of personal data from the EEA and UK to the United States and other countries in which we or our partners or service providers may operate. Case law from the Court of Justice of the European Union (CJEU) states that reliance on the standard contractual clauses, which are a standard form of contract approved by the European Commission as an adequate personal data transfer mechanism, alone may not necessarily be sufficient in all circumstances and that transfers must be assessed on a case-by-case basis. We currently rely and expect to rely in the future on the EU standard contractual clauses, the UK Addendum to the EU standard contractual clauses, and the UK International Data Transfer Agreement, as applicable, to transfer personal data outside of the EEA and the UK, including to the United States. Following a period of legal complexity and uncertainty regarding international personal data transfers, particularly to the United States, we expect that the regulatory guidance and enforcement landscape will continue to develop in relation to transfers to the United States and elsewhere. For example, the European Commission has renewed the UK’s adequacy decision through December 2031 after assessing the UK Data Act, but such adequacy determination remains subject to potential revocation or modification. The United States also instituted new rules, effective April 8, 2025, that prohibit or restrict certain transactions involving sensitive data and specific countries of concern, including China, and, among other requirements, may require United States businesses to seek assurances that foreign parties will not further share sensitive data with parties in countries of concern. As a result of these or other developments relating to cross-border data transfers, we may have to make certain operational changes and implement revised standard contractual clauses and other relevant documentation for data transfers within required time frames. If we are unable to transfer personal data between and among countries and regions in which we or our partners, collaborators, vendors, or clinical trial sites operate, or face restrictions in doing so, it could adversely affect the manner in which we operate our business, affect the geographical location or segregation of our relevant systems and operations, and adversely affect our financial results.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These laws and regulations may also apply to service providers and vendors that store or otherwise process personal data on our behalf, such as CROs and other service providers that may support the conduct of our clinical trials and information technology or other vendors. If our policies, controls, or other measures fail or are alleged to fail to comply with applicable laws or regulations relating to privacy, data protection, or security, or if a service provider or vendor misuses data we have provided to it or fails to safeguard such data, or otherwise fails to comply with such laws, we may be subject to litigation, regulatory investigations, enforcement notices, or enforcement actions imposing fines or requiring us to change the way we use personal data, as well as negative publicity, reputational harm, and potential loss of business. Failure to comply with the GDPR could result in penalties. Since we may be subject to the supervision of relevant data protection authorities under both the GDPR and the UK GDPR, we could be fined under each of those regimes independently in respect of the same breach. Penalties for certain breaches are up to the greater of €20 million (£17.5 million) or 4% of our global annual turnover. In addition to fines, GDPR noncompliance may result in regulatory investigations, reputational damage, orders to cease or change our data processing activities, enforcement notices, assessment notices for a compulsory audit, or civil claims, including class actions. If and as we continue to expand certain of our operations into foreign countries and jurisdictions, we may be subject to additional laws and regulations that may affect how we conduct business.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expect that we will need to expend significant capital and other resources to ensure ongoing compliance with applicable data laws and regulations relating to data protection, privacy, and security. Claims that we have violated individuals’ privacy rights or breached our contractual obligations related to these matters, even if we are not found liable, could be expensive and time-consuming to defend and could result in negative publicity that could harm our business. Moreover, even if we take all necessary action to comply with legal and regulatory requirements, we could be subject to a data breach or other unauthorized access to personal information, which could subject us to fines and penalties, as well as litigation and reputational damage.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fail to keep apprised of and comply with applicable international, federal, state, or local legal and regulatory requirements and changes thereto, we could be subject to a range of legal or regulatory actions that could affect our or any collaborators’ ability to develop and seek to commercialize our product candidates. Any threatened or actual government enforcement action, or litigation when private rights of action are available, could also generate negative publicity, damage our reputation, result in liabilities, fines, and loss of business, and require that we devote substantial resources that could otherwise be used in support of other aspects of our business.</w:t>
      </w:r>
    </w:p>
    <w:p>
      <w:pPr>
        <w:pStyle w:val="TextBody"/>
        <w:bidi w:val="0"/>
        <w:spacing w:before="360" w:after="283"/>
        <w:jc w:val="left"/>
        <w:rPr>
          <w:rFonts w:ascii="Times New Roman" w:hAnsi="Times New Roman"/>
          <w:sz w:val="20"/>
        </w:rPr>
      </w:pPr>
      <w:r>
        <w:rPr>
          <w:rFonts w:ascii="Times New Roman" w:hAnsi="Times New Roman"/>
          <w:b/>
          <w:i/>
          <w:color w:val="000000"/>
          <w:sz w:val="20"/>
        </w:rPr>
        <w:t>We and third parties involved in our operations are subject to United States and certain foreign laws and regulations relating to export and import controls, sanctions, embargoes, anti-corruption, and anti-money laundering. Compliance with these legal standards could impair our ability to compete in domestic and international markets. We could face criminal liability and other serious consequences for violations, which would harm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subject to export control and import laws and regulations, including the United States Export Administration Regulations, United States Customs regulations, various economic and trade sanctions regulations administered by the United States Treasury Department’s Office of Foreign Assets Controls, the United States Foreign Corrupt Practices Act of 1977, as amended (FCPA), the United States domestic bribery statute contained in 18 U.S.C. § 201, the United States Travel Act, the USA PATRIOT Act, and other state and national anti-bribery and anti-money laundering laws in the countries in which we conduct activities. International trade, tariff, and import/export laws and regulations may require us to obtain licenses or permits and take other actions in order to complete certain activities necessary for the research, manufacture, and development of our product candidates. Moreover, we expect such laws and regulations, along with associated guidance and interpretations, to evolve over time in ways that may impact various aspects of our business. The process for obtaining any necessary licenses or permits and otherwise complying with applicable legal and regulatory requirements may be lengthy and time-consuming, and if we are not able to obtain any such licenses or permits or otherwise comply with such requirements in a timely manner, we may experience delays in our ability to manufacture, develop, and commercialize our product candidates. Anti-corruption laws are interpreted broadly and prohibit companies and their employees, agents, contractors, collaborators, and other third parties from authorizing, promising, offering, or providing, directly or indirectly, improper payments or anything else of value to recipients in the public or private sector. We may engage third parties to sell products, if any, for which we receive regulatory approval outside the United States, to conduct clinical trials or other activities on our behalf, or to obtain necessary permits, licenses, patent registrations, and other regulatory approvals. In the ordinary course of our business, we may have direct or indirect interactions with officials and employees of government agencies or government-affiliated hospitals, universities, and other organizations. We may be held liable for the corrupt or other illegal activities of our employees, agents, contractors, collaborators, and other third parties, even if we do not explicitly authorize or have actual knowledge of such activities.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particular, there is currently significant uncertainty about the future relationship between the United States and various other countries, in particular China, with respect to trade policies, including sanctions, treaties, tariffs, taxes, regulatory requirements, and other limitations on cross-border operations, including due to government administration policy changes that have occurred or may occur in the future. The United States government has and continues to make significant additional changes in United States trade policy and may continue to take future actions that could negatively impact United States trade. For example, the United States government has indicated its intent to modify United States trade policy and, in some cases, to renegotiate, or potentially terminate, certain existing bilateral or multi-lateral trade agreements. In addition, since February 2025, the United States has implemented, and in certain cases, increased, tariffs on a wide array of foreign products from almost all trading partners. For example, in April 2025, the United States Department of Commerce (Department of Commerce) initiated an investigation related to imports of pharmaceuticals and pharmaceutical ingredients, and their derivative products, under Section 232 of the Trade Expansion Act of 1962 (Section 232), the results of which led to the announcement in April 2026 of a new tariff of up to 100% on certain patented and branded pharmaceuticals and associated pharmaceutical ingredients, effective in the second half of 2026. The administration continues to implement new, reinstated, or adjusted tariffs on a broad array of items, and we expect that this practice may continue. For example, the Department of Commerce has initiated additional Section 232 investigations into national security risks associated with the import of certain additional commodities, and the Office of the United States Trade Representative has initiated investigations under Section 301 of the Trade Act of 1974 into the trade policies and actions of certain United States trading partners, including China and the EU. The findings of these investigations, or future investigations under these or other authorities, could eventually support the imposition of additional tariffs. Between February 2025 and February 2026, the administration imposed “reciprocal” and “fentanyl-related” tariffs on imports of certain items and from various trading partners, citing authorities provided for in the International Emergency Economic Powers Act (IEEPA). Following a Supreme Court ruling in February 2026 determining that these tariff actions were unauthorized, the government rescinded the IEEPA tariffs, but subsequently implemented a global “temporary import surcharge” on many of the same imports under authorities provided for in Section 122 of the Trade Act of 1974. The extent and duration of any tariffs, the uncertainty around their implementation and the timing thereof, and the resulting impact on general economic conditions and on our business are uncertain and will depend on various factors, such as negotiations between the United States and other countries, the response of such countries, exemptions or exclusions that may be granted, and the availability and cost of alternative sources of supply of materials and other items that we or third parties we work with may import from affected countries. We cannot predict what actions may ultimately be taken with respect to trade relations between the United States and China or other countries, what interactions, including products or services, may be subject to such actions, or what actions may be taken by the other countries in retaliation. Any such actions by the United States government, including implementation or the threat of new tariffs, export controls, legislation, or regulations, if existing trade agreements are renegotiated, if the United States or other governments take retaliatory trade actions, or if any other similar changes occur, or if any of our interactions with parties affected by any such actions or changes become more costly or are limited or no longer possible, our business, liquidity, financial condition, or results of operations could be materially and adversely affected.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particular, trade restrictions, including tariffs, and other general economic or political conditions could increase the costs and limit the availability of items necessary for our supply chain, such as equipment, materials, or components that we may import into the United States, and could generally increase the expenses associated with our business, which could materially and adversely affect our results of operations, financial condition, and prospects. We may not be able to forecast such impacts accurately. Although we continue to work with our vendors, including our CDMOs, to mitigate our exposure to current or potential future tariffs and other trade restrictions, we cannot guarantee that we will be able to offset any increased costs or supply shortages or other disruptions. The ultimate impact of any trade restrictions will depend on various factors, including the timing of implementation and the duration, amount, scope, and nature of such trade restrictions, and if we are not successful in offsetting such impact, our operating results may be adversely affected.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Third parties involved in our operations, including CDMOs and other service providers, partners, and collaborators, may also be impacted by various laws, regulations, or other government actions, including those described above, compliance with or the effect of which could negatively impact the ability of these third parties to perform their obligations under our agreements with or otherwise harm our relationships with such third parties. For example, recent legislation known as the BIOSECURE Act was enacted in December 2025 as part of the 2026 National Defense Authorization Act, and places limitations on certain interactions with certain Chinese and other biotechnology firms that may pose a threat to United States national security, and additional proposals have been raised regarding executive actions to further limit Chinese service providers’ ability to engage in business in the United States. To the extent that any third parties involved in our operations are the subject of these or similar future laws or actions, our relationships with these third parties, and our programs and business generally, could be materially negatively impacted.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Risks Related to Our Limited Operating History, Financial Condition, and Need for Additional Capital</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There is substantial doubt as to our ability to continue as a going concern. We may need additional financing to execute our business plan, to fund our operations, and to continue as a going concern. Our disclosure regarding the substantial doubt as to our ability to continue as a going concern may hinder our ability to obtain further financing.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Due to our recurring operating losses and negative cash flows from operations and our dependence on and uncertainty around our ability to obtain additional financing to fund our operations after our current resources are exhausted, management has determined that our present capital resources may not be sufficient to fund our planned operations for at least one year from the date of this Quarterly Report, and there is substantial doubt as to our ability to continue as a going concern. Our ability to continue as a going concern will depend on our ability to obtain additional funding, and no assurances can be given that additional funding will be available to us on commercially reasonable terms, or at all. If we are unable to raise sufficient capital when needed, our business, financial condition, and results of operations will be materially and adversely affected, and we will need to modify our operational plans to continue as a going concern. If we are unable to obtain sufficient financing, we may be required to delay, reduce the scope of, or cease some or all of our research and development programs, or pursue strategic alternatives. Moreover, the reaction of investors to the inclusion of a going concern statement in our financial statements and our potential inability to continue as a going concern could adversely affect the price of our common stock and our ability to raise new capital or enter into collaborative or other transactions.</w:t>
      </w:r>
    </w:p>
    <w:p>
      <w:pPr>
        <w:pStyle w:val="TextBody"/>
        <w:bidi w:val="0"/>
        <w:spacing w:before="360" w:after="283"/>
        <w:jc w:val="left"/>
        <w:rPr>
          <w:rFonts w:ascii="Times New Roman" w:hAnsi="Times New Roman"/>
          <w:sz w:val="20"/>
        </w:rPr>
      </w:pPr>
      <w:r>
        <w:rPr>
          <w:rFonts w:ascii="Times New Roman" w:hAnsi="Times New Roman"/>
          <w:b/>
          <w:i/>
          <w:color w:val="000000"/>
          <w:sz w:val="20"/>
        </w:rPr>
        <w:t>We will require additional funding to finance our operations. If we are unable to raise capital when needed, or on acceptable terms, we could be forced to delay, reduce, or eliminate some or all of our product development programs or commercialization efforts.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Developing biopharmaceutical products, including conducting preclinical studies and clinical trials, is a very time-consuming, expensive, and uncertain process that takes years to complete. Our operations have consumed substantial amounts of cash since inception, and we expect our expenses to increase if and as our ongoing activities grow in scope and breadth. Accordingly, we will need to obtain substantial additional funding in connection with our continuing operations. If we are unable to raise capital when needed or on attractive terms, we could be forced to delay, reduce, or eliminate certain research and development programs or any future commercialization efforts with respect to such programs, and our business, results of operations, and financial condition would be adversely affected.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March 31, 2026, we had $101.1 million in cash, cash equivalents, and marketable securities. As described elsewhere in this Quarterly Report, due to our recurring operating losses and negative cash flows from operations, management has determined that our present capital resources may not be sufficient to fund our planned operations for at least one year from the date of this Quarterly Report, raising substantial doubt as to our ability to continue as a going concern. Accordingly, we will need to raise additional funding in order to execute on our current business plans and strategy. As described elsewhere in these Risk Factors, we cannot guarantee that financing will be available in sufficient amounts or on terms acceptable to us, if at all, and the terms of any financing may adversely affect our stockholders. Moreover, we could use our capital resources more quickly than we currently expect, which could require us to seek additional funds sooner than planned, including through public or private equity or debt financings or other sources, such as strategic collaborations. Attempting to secure additional financing may divert our management from our day-to-day activities, which may adversely affect our ability to develop our product candidates, and the issuance of additional securities, whether equity, traditional debt, or other debt-like arrangements, by us, or the possibility of such issuance, may cause the market price of our shares to decline. In addition, we may seek additional capital due to favorable market conditions or strategic considerations even if we believe we have sufficient funds for our current or future operating plans.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future capital requirements will depend on many factors,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scope, timing, progress, costs, and results of discovery, preclinical development, and clinical trials for our current or future product candidates, including the development of companion diagnostics to such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number and scope of clinical trials required for regulatory approval of our current or future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timing, and outcome of regulatory review of our current or future product candidates and any companion diagnostics to such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 timing, and scope of our manufacturing capabilities and our uses of our existing facilities, as well as costs associated with the manufacturing of clinical and commercial supplies of our current or future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and timing of future commercialization activities, including manufacturing, marketing, sales, and distribution, for any of our product candidates for which we receive marketing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and timing of preparing, filing, and prosecuting patent applications, maintaining and enforcing our intellectual property rights, and defending any intellectual property-related claims, including any claims by third parties that we are infringing upon their intellectual property rights;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maintain existing, and establish new, strategic collaborations, licensing, or other arrangements and the financial terms of any such agreements, including the timing and amount of any future milestone, royalty, or other payments due under any such agreement;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revenue, if any, received from commercial sales of our product candidates for which we receive marketing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expenses required to attract, hire, and retain skilled personnel;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of global supply chain issues and changing rates of inflation on the costs of laboratory consumables, supplies, and equipment required for our ongoing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of operating as a public company;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effectively manage the amount of cash used in our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establish a commercially viable pricing structure and obtain approval for coverage and adequate reimbursement from third-party, including government, payors;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potential interruptions or delays resulting from global geo-political, economic, and other factors beyond our control;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effect of competing technological and market developments;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extent to which we acquire or invest in businesses, products, and technologies.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ability to raise additional funds will depend on financial, economic, geo-political, and market conditions and other factors over which we may have no or limited control. Market volatility, including as a result of bank failures, and broader impacts on the global banking sector, geo-political and economic instability (including from the conflicts between Russia and Ukraine and in the Middle East), tensions in ex-U.S. (including U.S.-China) relations, and changes in government administration policy positions, or other factors, could also adversely impact our ability to access capital as and when needed. Furthermore, we hold significant balances of cash and cash equivalents, including as necessary to conduct our day-to-day operations, some of which are held in deposit accounts at commercial banks in excess of the government-provided deposit insurance, exposing such cash balances to additional risk of loss beyond our control. Additional funds may not be available when we need them, on terms and at a cost that are acceptable to us, or at all. If adequate funds are not available to us on a timely basis, or on terms and at a cost that are acceptable to us, we could be required to: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 limit, reduce, or terminate preclinical studies, clinical trials, or other research and development activities, or eliminate one or more of our development programs altogether, or otherwise restructure our operations or reduce our workforce; 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 limit, reduce, or terminate our efforts to access manufacturing capacity or establish and operationalize any manufacturing facility we may operate, establish sales and marketing capabilities, or other activities that may be necessary to commercialize any product candidates for which we obtain regulatory approval, or reduce our flexibility in developing or maintaining our sales and marketing strategy with respect to any product candidates for which we obtain regulatory approval.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example, as described elsewhere in these Risk Factors, we have conducted several portfolio prioritizations and associated workforce reductions in order to focus and consolidate our resources. We will require additional funding and other resources in order to expand preclinical development and initiate or continue clinical development for our product candidates, including if and as we seek strategic alternatives for certain of our programs.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Raising additional capital may cause dilution to our stockholders, restrict our operations, or require us to relinquish rights to our technologies or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Until such time, if ever, as we can generate substantial product revenue, we expect to finance our operations with our existing cash, cash equivalents, and marketable securities, proceeds from equity or debt financings, including our at-the-market offering facility (the ATM facility), as described elsewhere in this Quarterly Report, and any future financings, and milestone, royalty, and other payments received under any future licenses, collaborations, or other arrangements. Additional capital may not be available on terms that are reasonable or acceptable to us, if at all. If we raise additional capital through the sale of equity or debt securities, existing stockholders’ ownership interests will be diluted, and the terms of these securities may include liquidation or other preferences that adversely affect the rights of our stockholders. In addition, any such issuance, or the possibility of such issuance, may cause the market price of our common stock to decline. Debt financing, if available, may result in increased fixed payment obligations and the existence of securities with rights that may be senior to those of our common stock, and involve agreements that include covenants limiting or restricting our ability to take specific actions, such as incurring additional debt, making capital expenditures, declaring dividends, or acquiring, selling, or licensing intellectual property rights or assets, which could adversely impact our ability to conduct our business. Equity financing, if available, may include restrictions on our use of proceeds. For example, as described elsewhere in this Quarterly Report, pursuant to our stock purchase agreement with Mayo Clinic, we agreed to use the net proceeds from the sale of shares of our common stock under the agreement for the development of products upon which an affiliate of Mayo Clinic has the right to receive royalties pursuant to a collaboration and license agreement between us and such affiliate (the License Agreement), including SC451 and certain genetically modified stem-cell derived islet cell products, as set forth in the License Agreement. We may experience similar or more onerous restrictions on use of proceeds in future financings.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we raise additional funds through collaborations, strategic alliances, or marketing, distribution, or licensing arrangements with third parties, we may have to relinquish valuable rights to our intellectual property, technologies, future revenue streams, or product candidates or grant licenses on terms that may not be favorable to us. We could also be required to seek funds through arrangements with collaborators or others at an earlier stage than otherwise would be desirable. Any of these occurrences may have a material adverse effect on our business, operating results, and prospects.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have incurred significant losses since our inception, and we expect to incur losses for the foreseeable future. We have no products approved for commercial sale and may never achieve or maintain profitability.</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We have a limited operating history. Biotechnology product development is a highly speculative undertaking and involves a substantial degree of risk. We have incurred significant losses since inception, have not generated any revenue from product sales, and have financed our operations historically through several equity financings. We expect that it will be several years, if ever, before we have a commercialized product and generate revenue from product sales. We had net losses of $47.2 million and $49.4 million for the three months ended March 31, 2026 and 2025, respectively. As of March 31, 2026, we had an accumulated deficit of $1.9 billion, which includes cumulative non-cash charges related to the revaluation of our success payment liabilities and contingent consideration of $14.5 million and $83.2 million, respectively. Our losses have resulted principally from expenses incurred for the research and development of our </w:t>
      </w:r>
      <w:r>
        <w:rPr>
          <w:rFonts w:ascii="Times New Roman" w:hAnsi="Times New Roman"/>
          <w:i/>
          <w:color w:val="000000"/>
          <w:sz w:val="20"/>
        </w:rPr>
        <w:t>ex vivo</w:t>
      </w:r>
      <w:r>
        <w:rPr>
          <w:rFonts w:ascii="Times New Roman" w:hAnsi="Times New Roman"/>
          <w:color w:val="000000"/>
          <w:sz w:val="20"/>
        </w:rPr>
        <w:t xml:space="preserve"> and </w:t>
      </w:r>
      <w:r>
        <w:rPr>
          <w:rFonts w:ascii="Times New Roman" w:hAnsi="Times New Roman"/>
          <w:i/>
          <w:color w:val="000000"/>
          <w:sz w:val="20"/>
        </w:rPr>
        <w:t>in vivo</w:t>
      </w:r>
      <w:r>
        <w:rPr>
          <w:rFonts w:ascii="Times New Roman" w:hAnsi="Times New Roman"/>
          <w:color w:val="000000"/>
          <w:sz w:val="20"/>
        </w:rPr>
        <w:t xml:space="preserve"> cell engineering platforms, management and administrative costs, and other expenses incurred while building our business infrastructure.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Although our historical portfolio prioritizations have been designed to decrease our operating losses and expenses, other than with respect to one-time charges, our operating losses and expenses may increase over the longer term if our future clinical trials are successful and if we expand our research and development efforts. Our operating losses and expenses are, and will in the future likely be, driven by our ongoing operations and our potential future expanded operations, including if and as we: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expand our research and development efforts;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 xml:space="preserve">advance and expand the capabilities of our </w:t>
      </w:r>
      <w:r>
        <w:rPr>
          <w:rFonts w:ascii="Times New Roman" w:hAnsi="Times New Roman"/>
          <w:i/>
          <w:color w:val="000000"/>
          <w:sz w:val="20"/>
        </w:rPr>
        <w:t>ex vivo</w:t>
      </w:r>
      <w:r>
        <w:rPr>
          <w:color w:val="000000"/>
        </w:rPr>
        <w:t xml:space="preserve"> </w:t>
      </w:r>
      <w:r>
        <w:rPr>
          <w:rFonts w:ascii="Times New Roman" w:hAnsi="Times New Roman"/>
          <w:color w:val="000000"/>
          <w:sz w:val="20"/>
        </w:rPr>
        <w:t xml:space="preserve">and </w:t>
      </w:r>
      <w:r>
        <w:rPr>
          <w:rFonts w:ascii="Times New Roman" w:hAnsi="Times New Roman"/>
          <w:i/>
          <w:color w:val="000000"/>
          <w:sz w:val="20"/>
        </w:rPr>
        <w:t>in vivo</w:t>
      </w:r>
      <w:r>
        <w:rPr>
          <w:color w:val="000000"/>
        </w:rPr>
        <w:t xml:space="preserve"> </w:t>
      </w:r>
      <w:r>
        <w:rPr>
          <w:rFonts w:ascii="Times New Roman" w:hAnsi="Times New Roman"/>
          <w:color w:val="000000"/>
          <w:sz w:val="20"/>
        </w:rPr>
        <w:t>cell engineering platforms;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identify additional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advance preclinical development of our current product candidates and initiate additional preclinical studies, including with respect to future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commence and advance through clinical studies of our current and future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continue to establish our manufacturing capabilities, including through CDMOs;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 xml:space="preserve">acquire and license technologies aligned with our </w:t>
      </w:r>
      <w:r>
        <w:rPr>
          <w:rFonts w:ascii="Times New Roman" w:hAnsi="Times New Roman"/>
          <w:i/>
          <w:color w:val="000000"/>
          <w:sz w:val="20"/>
        </w:rPr>
        <w:t xml:space="preserve">ex vivo </w:t>
      </w:r>
      <w:r>
        <w:rPr>
          <w:rFonts w:ascii="Times New Roman" w:hAnsi="Times New Roman"/>
          <w:color w:val="000000"/>
          <w:sz w:val="20"/>
        </w:rPr>
        <w:t xml:space="preserve">and </w:t>
      </w:r>
      <w:r>
        <w:rPr>
          <w:rFonts w:ascii="Times New Roman" w:hAnsi="Times New Roman"/>
          <w:i/>
          <w:color w:val="000000"/>
          <w:sz w:val="20"/>
        </w:rPr>
        <w:t>in vivo</w:t>
      </w:r>
      <w:r>
        <w:rPr>
          <w:color w:val="000000"/>
        </w:rPr>
        <w:t xml:space="preserve"> </w:t>
      </w:r>
      <w:r>
        <w:rPr>
          <w:rFonts w:ascii="Times New Roman" w:hAnsi="Times New Roman"/>
          <w:color w:val="000000"/>
          <w:sz w:val="20"/>
        </w:rPr>
        <w:t>cell engineering platforms;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seek regulatory approval of our current and future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collaborate with third parties to support the development and regulatory approval of companion diagnostics to our product candidates;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engage in commercialization activities, including product manufacturing, marketing, sales, and distribution for any of our product candidates for which we obtain marketing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expand our operational, financial, and management systems and increase personnel, including those required to support our preclinical and clinical development, manufacturing, and potential future commercialization efforts;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continue to develop, prosecute, and defend our intellectual property portfolio;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continue to incur legal, accounting, and other expenses to operate our business, including the costs associated with operating as a public company.</w:t>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We have devoted a significant portion of our financial resources and efforts to building our organization, developing our </w:t>
      </w:r>
      <w:r>
        <w:rPr>
          <w:rFonts w:ascii="Times New Roman" w:hAnsi="Times New Roman"/>
          <w:i/>
          <w:color w:val="000000"/>
          <w:sz w:val="20"/>
        </w:rPr>
        <w:t>ex vivo</w:t>
      </w:r>
      <w:r>
        <w:rPr>
          <w:rFonts w:ascii="Times New Roman" w:hAnsi="Times New Roman"/>
          <w:color w:val="000000"/>
          <w:sz w:val="20"/>
        </w:rPr>
        <w:t xml:space="preserve"> and </w:t>
      </w:r>
      <w:r>
        <w:rPr>
          <w:rFonts w:ascii="Times New Roman" w:hAnsi="Times New Roman"/>
          <w:i/>
          <w:color w:val="000000"/>
          <w:sz w:val="20"/>
        </w:rPr>
        <w:t>in vivo</w:t>
      </w:r>
      <w:r>
        <w:rPr>
          <w:rFonts w:ascii="Times New Roman" w:hAnsi="Times New Roman"/>
          <w:color w:val="000000"/>
          <w:sz w:val="20"/>
        </w:rPr>
        <w:t xml:space="preserve"> cell engineering platforms, identifying and developing potential product candidates, executing preclinical studies, establishing manufacturing capabilities, preparing for and commencing clinical trials of our product candidates, acquiring technologies, organizing and staffing the company, business planning, establishing and maintaining our intellectual property portfolio, raising capital, and providing general and administrative support for these operations. We are in the early stages of development of our product candidates and have not completed development or commercialization of any product candidate.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 become and remain profitable, we must succeed in identifying, developing, obtaining regulatory approval for, and eventually commercializing products that generate significant revenue. This will require us to be successful in a range of challenging activities, including completing preclinical studies and clinical trials of our product candidates, continuing to discover and develop additional product candidates, manufacturing our product candidates, including accessing manufacturing capacity, obtaining regulatory approval for any product candidates that successfully complete clinical trials, establishing marketing capabilities, and commercializing and ultimately selling any products for which we may obtain regulatory approval. We may never succeed in any or all of these activities and, even if we do, we may never generate revenue that is sufficient to achieve profitability. Even if we do achieve profitability, we may not be able to sustain profitability or meet outside expectations for our profitability. If any of the foregoing events were to occur, the value of our shares of common stock could be materially adversely affected.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Because of the numerous risks and uncertainties associated with biopharmaceutical product development, we are unable to accurately predict the timing or increases in the amount of expenses we will incur or when, or if, we will be able to achieve profitability. If we are required by the FDA or comparable foreign regulatory authorities to perform studies in addition to those we currently anticipate, or if there are any delays in commencing or completing our clinical trials or the development of any of our product candidates, our expenses could increase and our ability to obtain commercial revenue could be further delayed and become more uncertain, which will have a material adverse impact on our business.</w:t>
      </w:r>
    </w:p>
    <w:p>
      <w:pPr>
        <w:pStyle w:val="TextBody"/>
        <w:bidi w:val="0"/>
        <w:spacing w:before="360" w:after="283"/>
        <w:jc w:val="left"/>
        <w:rPr>
          <w:rFonts w:ascii="Times New Roman" w:hAnsi="Times New Roman"/>
          <w:sz w:val="20"/>
        </w:rPr>
      </w:pPr>
      <w:r>
        <w:rPr>
          <w:rFonts w:ascii="Times New Roman" w:hAnsi="Times New Roman"/>
          <w:b/>
          <w:i/>
          <w:color w:val="000000"/>
          <w:sz w:val="20"/>
        </w:rPr>
        <w:t>Our success payment and contingent consideration obligations in our license and acquisition agreements may result in dilution to our stockholders, drain our cash resources, or require us to incur debt to satisfy the payment obligations.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agreed to make success payments, payable in cash, pursuant to our license agreement with Harvard and contingent consideration and success payments, payable in cash or stock, pursuant to our acquisition agreement with Cobalt. Pursuant to the terms of our license agreement with Harvard, we may be required to make up to an aggregate of $175.0 million in success payments to Harvard (Harvard Success Payments), payable in cash, based on increases in the per share fair market value of our common stock. The potential Harvard Success Payments are based on multiples of increasing value ranging from 5x to 40x based on a comparison of the per share fair market value of our common stock relative to the original issuance price of $4.00 per share at ongoing pre-determined valuation measurement dates. The Harvard Success Payments can be achieved over a maximum of 12 years from the effective date of the agreement. If a higher success payment tier is met at the same time a lower tier is met, both tiers will be owed. Any previous Harvard Success Payments made are credited against the Harvard Success Payment owed as of any valuation measurement date so that Harvard does not receive multiple success payments in connection with the same threshold. As of March 31, 2026, a Harvard Success Payment had not been triggered. See Note 5, License and collaboration agreements to our condensed consolidated financial statements included elsewhere in this Quarterly Report for more details on the various per share common stock values that trigger a Harvard Success Payment.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the terms of the Cobalt acquisition agreement, we are obligated to pay to certain former Cobalt stockholders contingent consideration (Cobalt Contingent Consideration) of up to an aggregate of $500.0 million upon our achievement of certain pre-defined development milestones and a success payment (Cobalt Success Payment) of $500.0 million, each of which is payable in cash or stock. The Cobalt Success Payment is payable if, at pre-determined valuation measurement dates, our market capitalization equals or exceeds $8.1 billion, and we are advancing a program based on the fusogen technology in a clinical trial pursuant to an IND, or have filed for, or received approval for, a BLA or new drug application for a product based on the fusogen technology. The Cobalt Success Payment can be achieved over a maximum of 20 years from the date of the acquisition, but this period could be shorter upon the occurrence of certain events. A valuation measurement date would be triggered upon a change of control if at least one of our programs based on the fusogen technology is the subject of an active research program at the time of such change of control. If there is a change of control and our market capitalization is below $8.1 billion as of the date of the change of control, the amount of the potential Cobalt Success Payment will decrease, and the amount of potential Cobalt Contingent Consideration will increase. As of March 31, 2026, a Cobalt Success Payment had not been triggered. See Note 4, Acquisitions to our condensed consolidated financial statements included elsewhere in this Quarterly Report for details on the amount of the potential Cobalt Success Payment and potential Cobalt Contingent Consideration if there is a change of control based on various thresholds for our market capitalization on such change of control date.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order to satisfy our obligations to make these payments, if and when they are triggered, we may issue equity or convertible debt securities that may cause dilution to our stockholders, or we may use our existing cash or incur debt to satisfy the payment obligations in cash, which may adversely affect our financial position. In addition, these payments may impede our ability to raise money in future public offerings of debt or equity securities or to obtain a third-party line of credit. </w:t>
      </w:r>
    </w:p>
    <w:p>
      <w:pPr>
        <w:pStyle w:val="TextBody"/>
        <w:bidi w:val="0"/>
        <w:spacing w:before="360" w:after="283"/>
        <w:jc w:val="left"/>
        <w:rPr>
          <w:rFonts w:ascii="Times New Roman" w:hAnsi="Times New Roman"/>
          <w:sz w:val="20"/>
        </w:rPr>
      </w:pPr>
      <w:r>
        <w:rPr>
          <w:rFonts w:ascii="Times New Roman" w:hAnsi="Times New Roman"/>
          <w:b/>
          <w:i/>
          <w:color w:val="000000"/>
          <w:sz w:val="20"/>
        </w:rPr>
        <w:t>The contingent consideration and success payment obligations in our license and acquisition agreements may cause our operating results, net losses, and financial condition as reported by United States generally accepted accounting principles to fluctuate significantly from quarter to quarter and year to year, which may reduce the usefulness of our financial statements.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success payment and contingent consideration obligations under our license and acquisition agreements are recorded as liabilities on our balance sheets. Under United States generally accepted accounting principles (GAAP), we are required to estimate the fair value of these liabilities as of each quarter end, with changes in the estimated fair value recorded in research and development-related success payments and contingent consideration. Factors that may lead to increases or decreases in the estimated fair value of the success payment liabilities include, among others, changes in the value of our common stock and market capitalization, changes in volatility, the estimated number and timing of valuation measurement dates, the term of the success payments, and changes in the risk-free interest rate. Factors that may lead to increases or decreases in the estimated fair value of our contingent consideration obligations include, among others, the estimated likelihood and timing within which milestones may be achieved and the estimated discount rates. A small change in the inputs and related assumptions with respect to our success payment liabilities and contingent consideration may result in a relatively large change in the estimated valuation and associated liabilities and resulting expense or gain. As a result, our operating results, net losses, and financial condition as reported by GAAP may fluctuate significantly from quarter to quarter and year to year for reasons unrelated to our operations, which may reduce the usefulness of our GAAP financial statements. For example, as of March 31, 2026 and December 31, 2025, the estimated aggregate fair value of the Cobalt Success Payment and Harvard Success Payment liabilities was $16.9 million and $19.2 million, respectively, and the estimated fair value of the Cobalt Contingent Consideration was $134.5 million and $123.7 million, respectively.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the three months ended March 31, 2026, we recorded gains of $1.8 million and $0.5 million, respectively, related to the aggregate change in the estimated fair value of the Cobalt Success Payment and Harvard Success Payment liabilities. For the three months ended March 31, 2026, we recorded an expense of $10.7 million related to the change in the estimated fair value of the Cobalt Contingent Consideration. We have incurred net losses since our inception and expect to continue to incur net losses for the foreseeable future. It is possible that future fluctuations in the price of our common stock and market capitalization and the resulting change in the estimated fair value of our success payment liabilities could lead us to record net income in a future period despite us incurring operating losses and negative cash flows during such period. Alternatively, significant stock appreciation during a future period could lead to a significant increase in our recorded GAAP net loss.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Our limited operating history may make it difficult to evaluate our prospects and likelihood of success.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We have a limited operating history upon which to evaluate our business and prospects. Since our inception in July 2018, we have devoted substantially all of our resources and efforts to building our organization, developing our </w:t>
      </w:r>
      <w:r>
        <w:rPr>
          <w:rFonts w:ascii="Times New Roman" w:hAnsi="Times New Roman"/>
          <w:i/>
          <w:color w:val="000000"/>
          <w:sz w:val="20"/>
        </w:rPr>
        <w:t>ex vivo</w:t>
      </w:r>
      <w:r>
        <w:rPr>
          <w:rFonts w:ascii="Times New Roman" w:hAnsi="Times New Roman"/>
          <w:color w:val="000000"/>
          <w:sz w:val="20"/>
        </w:rPr>
        <w:t xml:space="preserve"> and </w:t>
      </w:r>
      <w:r>
        <w:rPr>
          <w:rFonts w:ascii="Times New Roman" w:hAnsi="Times New Roman"/>
          <w:i/>
          <w:color w:val="000000"/>
          <w:sz w:val="20"/>
        </w:rPr>
        <w:t>in vivo</w:t>
      </w:r>
      <w:r>
        <w:rPr>
          <w:rFonts w:ascii="Times New Roman" w:hAnsi="Times New Roman"/>
          <w:color w:val="000000"/>
          <w:sz w:val="20"/>
        </w:rPr>
        <w:t xml:space="preserve"> cell engineering platforms, identifying and developing potential product candidates, executing preclinical studies, establishing manufacturing capabilities, preparing for and conducting clinical trials of our product candidates, acquiring technologies, organizing and staffing the company, business planning, establishing and maintaining our intellectual property portfolio, raising capital, and providing general and administrative support for these operations. We have not yet demonstrated our ability to successfully complete any clinical trials, including Phase 3 or other pivotal clinical trials, obtain regulatory approvals, manufacture a commercial-scale product or arrange for a third party to do so on our behalf, or conduct sales and marketing activities necessary for successful product commercialization. Additionally, we expect our financial condition and operating results to continue to fluctuate significantly from period to period due to a variety of factors, many of which are beyond our control. Consequently, predictions about our future success or viability are difficult to make and may not be as accurate as they could be if we had a longer operating history. </w:t>
      </w:r>
    </w:p>
    <w:p>
      <w:pPr>
        <w:pStyle w:val="TextBody"/>
        <w:bidi w:val="0"/>
        <w:spacing w:before="360" w:after="283"/>
        <w:jc w:val="left"/>
        <w:rPr>
          <w:rFonts w:ascii="Times New Roman" w:hAnsi="Times New Roman"/>
          <w:sz w:val="20"/>
        </w:rPr>
      </w:pPr>
      <w:r>
        <w:rPr>
          <w:rFonts w:ascii="Times New Roman" w:hAnsi="Times New Roman"/>
          <w:b/>
          <w:color w:val="000000"/>
          <w:sz w:val="20"/>
        </w:rPr>
        <w:t>Risks Related to Commercialization of Our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We operate in highly competitive and rapidly changing industries, which may result in others discovering, developing, or commercializing competing products before or more successfully than we do.</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biotechnology and pharmaceutical industries are highly competitive and subject to significant and rapid technological change. Our success is highly dependent on our ability to discover, develop, and obtain marketing approval for new and innovative products on a cost-effective basis and to market them successfully. In doing so, we face and will continue to face intense competition from a variety of businesses, including large pharmaceutical companies, biotechnology companies, academic institutions, government agencies, and other public and private research organizations. These organizations may have significantly greater resources than we do and conduct similar research, seek patent protection, and establish collaborative arrangements for research, development, manufacturing, and marketing of products that compete with our product candidates. Smaller and other early-stage companies may also prove to be significant competitors, particularly through collaborative arrangements with large and established companies. Mergers and acquisitions in the pharmaceutical and biotechnology industries may result in even more resources, including intellectual property that may be necessary or useful for the development and commercialization of our product candidates, being concentrated in our competitors and becoming unavailable to us on commercially reasonable terms or at all. Competition may increase further as a result of advances in the commercial applicability of technologies and greater availability of capital for investment in these industries.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With the proliferation of new drugs and therapies for our target indications, and as new technologies become available, we expect to face increasingly intense competition. If we fail to stay at the forefront of technological change, we may be unable to compete effectively. Any product candidates that we successfully develop and are able to commercialize, including those for the treatment of type 1 diabetes, B-cell cancers, and B-cell mediated autoimmune diseases, will compete with existing therapies and new therapies that may become available in the future, which may include CAR T, cellular, antibody, small molecule, and other types of therapies. The highly competitive nature of and rapid technological changes in the biotechnology and pharmaceutical industries could render our product candidates or our technologies obsolete, less competitive, or uneconomical. Our competitors may, among other things: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have significantly greater financial, manufacturing, marketing, drug development, technical, and human resources than we have;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develop and commercialize products that are safer, more effective, less expensive, more convenient, or easier to administer, or have fewer or less severe side effects than any products for which we may obtain regulatory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develop, obtain regulatory approval for, and commercialize products more quickly than we do, including due to differences in regulatory approval processes across the jurisdictions in which we and our competitors operate;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establish proprietary positions covering our products and technologies;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implement more effective approaches to sales and marketing; 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form more advantageous strategic alliances.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business, financial condition, and results of operations could be materially adversely affected by any of the foregoing events.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our potential future collaborators may decide to market and sell products that compete with the product candidates that are the subject of our collaboration, which could have a material adverse effect on our future business, financial condition, and results of operations. As described elsewhere in these Risk Factors and in the subsection titled “Business—Competition” in our 2025 Annual Report, we currently and in the future will compete with third parties in the development and commercialization of our product candidates.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Market opportunity and market growth for our product candidates may prove to be smaller than we initially estimated, and even if the markets in which we compete achieve the forecasted growth, our business may not grow at similar rates or at all, or we may otherwise be unable to capitalize on this opportunity.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intend to initially focus our product candidate development on treatments for various diseases caused by missing or damaged cells. Our projections of addressable patient populations within any particular disease state that may benefit from treatment with our product candidates are based on our estimates. Market opportunity estimates and growth forecasts are subject to significant uncertainty and are based on assumptions and estimates. These estimates, which have been derived from a variety of sources, including scientific literature, surveys of clinics, patient foundations, and market research, may prove to be incorrect. Further, new studies may change the estimated incidence or prevalence of these diseases. Additionally, the potentially addressable patient population for our product candidates may not ultimately be amenable to treatment with our product candidates, including if the cost of treatment with our product candidates, including any required co-payments, is expensive or higher than other available therapies. Our market opportunity may also be limited by future competitor therapies that enter the market. In addition, because we may develop one or more product candidates as a functional cure for a target disease, the prevalence of such disease may decrease over time and we may not receive recurring revenues from sales of such product candidate, if approved. If any of our estimates proves to be inaccurate, the market opportunity for any product candidate that we or our strategic partners develop could be significantly diminished, which would have an adverse material impact on our business.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particular, certain of our product candidates may be intended to treat cancer, and, in particular, B-cell cancers. Cancer therapies are sometimes characterized as first-line, second-line, or third-line and beyond, and the FDA often approves new therapies initially only for a particular line of use. When cancer is detected early enough, first-line therapy is sometimes adequate to cure the cancer or prolong life without a cure. Whenever first-line therapy, which usually consists of chemotherapy, antibody drugs, tumor-targeted small molecules, hormone therapy, radiation therapy, surgery, or a combination of these, proves unsuccessful, second-line therapy may be administered. Second-line therapies often consist of more chemotherapy, antibody drugs, tumor-targeted small molecules, radiation therapy, or a combination of these. Third-line therapies can include chemotherapy, antibody drugs, and small molecule tumor-targeted therapies, more invasive forms of surgery, and new technologies. The use of certain classes of therapies, including CAR T therapies, has been limited to a subset of patients with relapsed or refractory disease. Our projections of both the number of people who have the cancers we are targeting, as well as the subset of people with these cancers who are in a position to receive a particular line of therapy and who have the potential to benefit from treatment with our product candidates, are based on our beliefs and estimates. Consequently, even if our product candidates are approved for a later line of therapy, the number of patients that may be eligible for treatment with our product candidates may turn out to be much lower than expected.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even if the market opportunity for our product candidates achieves or exceeds the level and growth we anticipate, we may be unable to grow our business at the rate or in the manner necessary to successfully capitalize on this opportunity, including due to limited financial, personnel, and other resources. Our ability to successfully commercialize our product candidates will also be affected by numerous factors beyond our control, including limitations on third-party resources and infrastructure and other factors discussed in these Risk Factors.</w:t>
      </w:r>
    </w:p>
    <w:p>
      <w:pPr>
        <w:pStyle w:val="TextBody"/>
        <w:bidi w:val="0"/>
        <w:spacing w:before="360" w:after="283"/>
        <w:jc w:val="left"/>
        <w:rPr>
          <w:rFonts w:ascii="Times New Roman" w:hAnsi="Times New Roman"/>
          <w:sz w:val="20"/>
        </w:rPr>
      </w:pPr>
      <w:r>
        <w:rPr>
          <w:rFonts w:ascii="Times New Roman" w:hAnsi="Times New Roman"/>
          <w:b/>
          <w:i/>
          <w:color w:val="000000"/>
          <w:sz w:val="20"/>
        </w:rPr>
        <w:t>We currently have no marketing, sales, or distribution infrastructure and we intend to either establish a sales and marketing infrastructure or outsource this function to a third party. Each of these commercialization strategies carries substantial risks to us.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currently have no marketing, sales, or distribution capabilities because all of our product candidates are in the early stages of development. If one or more of our product candidates complete clinical development and receive regulatory approval, we intend to either establish a sales and marketing organization with technical expertise and supporting distribution capabilities to commercialize our product candidates in a legally compliant manner, or to outsource this function to a third party, both of which involve significant risks.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we elect to establish our own sales and marketing capabilities, we will incur significant additional costs, including to hire and retain qualified personnel to build out the organization, and we may be unable to build out this organization in a way that will enable us to successfully market our products and generate revenues. If we elect to enter into arrangements with third parties to perform sales and marketing with respect to our product candidates, we may be unable to identify suitable partners, and even if we do identify such partners, we may be unable to negotiate the terms of such arrangement in a timely manner or at all, which could delay our marketing efforts and our ability to generate revenues. To the extent that we are able to enter into collaboration agreements with respect to marketing, sales, or distribution, our product revenue may be lower than if we directly marketed or sold any approved products. Such collaborative arrangements with partners may place the commercialization of our products outside of our control and would subject us to a number of risks, including that we may not be able to control the amount or timing of resources that our collaborator devotes to our products or that our collaborator’s willingness or ability to complete its obligations, and our ability to complete our obligations under these arrangements, may be adversely affected by business combinations or significant changes in our collaborator’s business strategy. If we are unable to enter into these arrangements on acceptable terms, or at all, we may not be able to successfully commercialize any products for which we receive regulatory approval.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we are not successful in commercializing any approved products, either on our own or through collaborations with one or more third parties, our ability to generate product revenue will suffer and we may incur significant additional losses, which would have a material adverse effect on our business, financial condition, and results of operations. </w:t>
      </w:r>
    </w:p>
    <w:p>
      <w:pPr>
        <w:pStyle w:val="TextBody"/>
        <w:bidi w:val="0"/>
        <w:spacing w:before="360" w:after="283"/>
        <w:jc w:val="left"/>
        <w:rPr>
          <w:rFonts w:ascii="Times New Roman" w:hAnsi="Times New Roman"/>
          <w:sz w:val="20"/>
        </w:rPr>
      </w:pPr>
      <w:r>
        <w:rPr>
          <w:rFonts w:ascii="Times New Roman" w:hAnsi="Times New Roman"/>
          <w:b/>
          <w:i/>
          <w:color w:val="000000"/>
          <w:sz w:val="20"/>
        </w:rPr>
        <w:t>Our product candidates for which we intend to seek approval as biologic products may face competition sooner than anticipated.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ACA includes a subtitle called the Biologics Price Competition and Innovation Act of 2009 (BPCIA), which created an abbreviated approval pathway for biological products that are biosimilar to or interchangeable with an FDA-licensed reference biological product. Under the BPCIA, an application for a highly similar or “biosimilar” product may not be submitted to the FDA until four years following the date that the reference product was first approved by the FDA. In addition, the approval of a biosimilar product may not be made effective by the FDA until 12 years from the date on which the reference product was first approved. During this 12-year period of exclusivity, another company may still market a competing version of the reference product if the FDA approves a full BLA for the competing product containing the applicant’s own preclinical data and data from adequate and well-controlled clinical trials to demonstrate substantial evidence that such product provides benefits that outweigh its known and potential risks for the intended patient population, as well as data that demonstrate that such product can be manufactured to a pre-defined standard.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believe that any of our product candidates that may be approved as a biological product under a BLA should qualify for the 12-year period of exclusivity. However, there is a risk that this exclusivity could be shortened due to congressional action or otherwise, or that the FDA will not consider our product candidates to be reference products for competing products, potentially creating the opportunity for competition sooner than anticipated. Other aspects of the BPCIA, some of which may impact the BPCIA exclusivity provisions, have also been the subject of litigation. Moreover, the extent to which a biosimilar, once approved, will be substituted for any one of our reference products in a way that is similar to traditional generic substitution for non-biological products is not yet clear, and will depend on a number of marketplace and regulatory factors that are still developing.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Jurisdictions outside the United States have also established abbreviated pathways for regulatory approval of biological products that are biosimilar to earlier approved reference products. For example, the EU has had an established regulatory pathway for biosimilars since 2004. However, biosimilars can only be authorized once the period of data exclusivity on the reference biological medicine has expired.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increased likelihood of biosimilar competition has increased the risk of loss of innovators’ market exclusivity. As a result of this and uncertainties regarding patent protection, we are not currently able to predict with certainty the length of market exclusivity for any particular product candidate that may receive marketing approval based solely on the expiration of the relevant patent(s) or the current forms of regulatory exclusivity. There may also be future changes in United States regulatory law that might reduce biological product regulatory exclusivity. The loss of market exclusivity for any product for which we receive regulatory approval could materially and negatively affect or prevent our ability to generate revenues, which could prevent us from achieving or sustaining profitability. </w:t>
      </w:r>
    </w:p>
    <w:p>
      <w:pPr>
        <w:pStyle w:val="TextBody"/>
        <w:bidi w:val="0"/>
        <w:spacing w:before="360" w:after="283"/>
        <w:jc w:val="left"/>
        <w:rPr>
          <w:rFonts w:ascii="Times New Roman" w:hAnsi="Times New Roman"/>
          <w:sz w:val="20"/>
        </w:rPr>
      </w:pPr>
      <w:r>
        <w:rPr>
          <w:rFonts w:ascii="Times New Roman" w:hAnsi="Times New Roman"/>
          <w:b/>
          <w:color w:val="000000"/>
          <w:sz w:val="20"/>
        </w:rPr>
        <w:t>Risks Related to Ownership of Our Common Stock</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Our principal stockholders and management own a significant percentage of our stock and will be able to exert significant control over matters subject to stockholder approval.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March 31, 2026, our executive officers, directors, holders of 5% or more of our capital stock, and their respective affiliates, beneficially owned, in the aggregate, approximately 52.7% of our common stock. Therefore, these stockholders have the ability to influence us through this ownership position. These stockholders may be able to determine all matters requiring stockholder approval. For example, these stockholders may be able to control elections of directors, amendments to our organizational documents, or approval of any merger, sale of assets, or other major corporate transaction. This may prevent or discourage unsolicited acquisition proposals or offers for our common stock that other stockholders may feel are in their best interests. </w:t>
      </w:r>
    </w:p>
    <w:p>
      <w:pPr>
        <w:pStyle w:val="TextBody"/>
        <w:bidi w:val="0"/>
        <w:spacing w:before="360" w:after="283"/>
        <w:jc w:val="left"/>
        <w:rPr>
          <w:rFonts w:ascii="Times New Roman" w:hAnsi="Times New Roman"/>
          <w:sz w:val="20"/>
        </w:rPr>
      </w:pPr>
      <w:r>
        <w:rPr>
          <w:rFonts w:ascii="Times New Roman" w:hAnsi="Times New Roman"/>
          <w:b/>
          <w:i/>
          <w:color w:val="000000"/>
          <w:sz w:val="20"/>
        </w:rPr>
        <w:t>Future sales of our securities by us in the public market could cause our common stock price to fall.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At any time in the future we may sell a large number of shares of our common stock or rights to acquire a large number of shares of our common stock. Such sales, or the perception that such sales could occur, could cause our common stock price to decline as a result of, among other things, dilution from these sales, including pursuant to the exercise or conversion of rights to acquire our common stock, or discounts to the trading price of our common stock associated with such sales. In addition, transactions involving a large number of shares of our common stock, or the possibility that these transactions may occur, may also make it more difficult for us to sell equity securities in the future at a time and price that we deem appropriate.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expect that we will need significant additional capital in the future to support our planned operations, including conducting clinical trials, manufacturing, and other research and development activities, commercializing any product candidates for which we may obtain regulatory approval, and continuing to operate as a public company. To raise capital, we have sold and may in the future sell shares of our common stock, warrants, convertible securities, or other securities in one or more transactions at prices and in a manner we determine from time to time, including shares of common stock in the ATM facility and shares of common stock and pre-funded warrants in our August 2025 and February 2024 underwritten public offerings, as described elsewhere in this Quarterly Report. In the future, we may issue additional securities, including shares of common stock or other equity or debt securities convertible into common stock, in connection with the ATM facility, a financing, acquisition, employee arrangement, or otherwise. Any such issuance could result in substantial dilution to our existing stockholders, cause the price of our common stock to decline, and result in new investors gaining rights, preferences, and privileges senior to the holders of our common stock.</w:t>
      </w:r>
    </w:p>
    <w:p>
      <w:pPr>
        <w:pStyle w:val="TextBody"/>
        <w:bidi w:val="0"/>
        <w:spacing w:before="360" w:after="283"/>
        <w:jc w:val="left"/>
        <w:rPr>
          <w:rFonts w:ascii="Times New Roman" w:hAnsi="Times New Roman"/>
          <w:sz w:val="20"/>
        </w:rPr>
      </w:pPr>
      <w:r>
        <w:rPr>
          <w:rFonts w:ascii="Times New Roman" w:hAnsi="Times New Roman"/>
          <w:b/>
          <w:i/>
          <w:color w:val="000000"/>
          <w:sz w:val="20"/>
        </w:rPr>
        <w:t>Sales of a substantial number of shares of our common stock by our existing stockholders in the public market, or the perception that such sales could occur, could cause our stock price to fall.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our existing stockholders sell, indicate an intention to sell, or there is a perception in the market that they intend to sell, a large number of shares of our common stock, the trading price of our common stock could decline. As of March 31, 2026, 269.8 million shares of our common stock were outstanding, which excludes shares of common stock issued upon exercise of outstanding equity awards, in each case, after March 31, 2026, and 43.8% of such shares were beneficially owned by holders of 5% or more of our common stock. In addition, shares of common stock that are either subject to outstanding options or reserved for future issuance under our employee benefit plans will become eligible for sale in the public market to the extent permitted by the provisions of various vesting schedules, applicable lock-up agreements, and Rule 144 and Rule 701 under the Securities Act of 1933, as amended (Securities Act). If these additional shares of common stock are sold, or there is a perception that they will be sold, in the public market, the trading price of our common stock could decline. Any sales of securities by these stockholders could have a material adverse effect on the trading price of our common stock.</w:t>
      </w:r>
    </w:p>
    <w:p>
      <w:pPr>
        <w:pStyle w:val="TextBody"/>
        <w:bidi w:val="0"/>
        <w:spacing w:before="360" w:after="283"/>
        <w:jc w:val="left"/>
        <w:rPr>
          <w:rFonts w:ascii="Times New Roman" w:hAnsi="Times New Roman"/>
          <w:sz w:val="20"/>
        </w:rPr>
      </w:pPr>
      <w:r>
        <w:rPr>
          <w:rFonts w:ascii="Times New Roman" w:hAnsi="Times New Roman"/>
          <w:b/>
          <w:i/>
          <w:color w:val="000000"/>
          <w:sz w:val="20"/>
        </w:rPr>
        <w:t>We do not currently intend to pay dividends on our common stock and, consequently, our stockholders’ ability to achieve a return on their investment will depend on appreciation of the value of our common stock.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never declared or paid cash dividends on our common stock. We currently intend to retain all available funds and any future earnings to support operations and to finance the growth and development of our business. We do not intend to declare or pay any cash dividends on our capital stock in the foreseeable future. As a result, any investment return on our common stock will depend upon increases in the value of our common stock, which is not certain. </w:t>
      </w:r>
    </w:p>
    <w:p>
      <w:pPr>
        <w:pStyle w:val="TextBody"/>
        <w:bidi w:val="0"/>
        <w:spacing w:before="360" w:after="283"/>
        <w:jc w:val="left"/>
        <w:rPr>
          <w:rFonts w:ascii="Times New Roman" w:hAnsi="Times New Roman"/>
          <w:sz w:val="20"/>
        </w:rPr>
      </w:pPr>
      <w:r>
        <w:rPr>
          <w:rFonts w:ascii="Times New Roman" w:hAnsi="Times New Roman"/>
          <w:b/>
          <w:i/>
          <w:color w:val="000000"/>
          <w:sz w:val="20"/>
        </w:rPr>
        <w:t>Provisions in our amended and restated certificate of incorporation and our amended and restated bylaws and Delaware law might discourage, delay, or prevent a change in control of our company or changes in our management and, therefore, depress the market price of our common stock.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amended and restated certificate of incorporation and amended and restated bylaws contain provisions that could depress the market price of our common stock by acting to discourage, delay, or prevent a change in control of our company or changes in our management that the stockholders of our company may deem advantageous. These provisions, among other things: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establish a staggered Board divided into three classes serving staggered three-year terms, such that not all members of the Board are elected at one time;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authorize our Board to issue new series of preferred stock without stockholder approval and create, subject to applicable law, a series of preferred stock with preferential rights to dividends or our assets upon liquidation, or with superior voting rights to our existing common stock;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eliminate the ability of our stockholders to call special meetings of stockholders;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eliminate the ability of our stockholders to fill vacancies on our Board;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establish advance notice requirements for nominations for election to our Board or for proposing matters that can be acted upon by stockholders at our annual stockholder meetings;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permit our Board to establish the number of directors;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provide that our Board is expressly authorized to make, alter, or repeal our bylaws;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provide that stockholders can remove directors only for cause and only upon the approval of not less than 66 2/3% of all outstanding shares of our voting stock;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require the approval of not less than 66 2/3% of all outstanding shares of our voting stock to amend our bylaws and specific provisions of our certificate of incorporation;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limit the jurisdictions in which certain stockholder litigation may be brought.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a Delaware corporation, we are subject to the anti-takeover provisions of Section 203 of the Delaware General Corporation Law (DGCL), which prohibits a Delaware corporation from engaging in a business combination specified in the statute with an interested stockholder (as defined in the statute) for a period of three years after the date of the transaction in which the person first becomes an interested stockholder, unless the business combination is approved in advance by a majority of the independent directors or by the holders of at least two-thirds of the outstanding disinterested shares. The application of Section 203 of the DGCL could also have the effect of delaying or preventing a change of control of our company. </w:t>
      </w:r>
    </w:p>
    <w:p>
      <w:pPr>
        <w:pStyle w:val="TextBody"/>
        <w:bidi w:val="0"/>
        <w:spacing w:before="360" w:after="283"/>
        <w:jc w:val="left"/>
        <w:rPr>
          <w:rFonts w:ascii="Times New Roman" w:hAnsi="Times New Roman"/>
          <w:sz w:val="20"/>
        </w:rPr>
      </w:pPr>
      <w:r>
        <w:rPr>
          <w:rFonts w:ascii="Times New Roman" w:hAnsi="Times New Roman"/>
          <w:b/>
          <w:i/>
          <w:color w:val="000000"/>
          <w:sz w:val="20"/>
        </w:rPr>
        <w:t>Our amended and restated certificate of incorporation provides that the Court of Chancery of the State of Delaware will be the exclusive forum for substantially all disputes between us and our stockholders, which could limit our stockholders’ ability to obtain a favorable judicial forum for disputes with us or our directors, officers, or employees.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amended and restated certificate of incorporation provides that, unless we consent in writing to the selection of an alternative forum, the sole and exclusive forum, to the fullest extent permitted by law, for (i) any derivative action or proceeding brought on our behalf, (ii) any action asserting a claim of breach of a fiduciary duty owed by any director, officer, or other employee to us or our stockholders, (iii) any action arising pursuant to the DGCL, (iv) any action arising pursuant to our amended and restated certificate of incorporation or amended and restated bylaws, including with respect to the interpretation, application, enforcement, or validity thereof, or (v) any other action asserting a claim against us that is governed by the internal affairs doctrine, shall be the Court of Chancery of the State of Delaware (or another state court or the federal court located within the State of Delaware if the Court of Chancery does not have jurisdiction), in all cases subject to the court’s having jurisdiction over indispensable parties named as defendants. In addition, our amended and restated certificate of incorporation provides that the federal district courts of the United States will be the exclusive forum for resolving any complaint asserting a cause of action arising under the Securities Act, but that the forum selection provision will not apply to claims brought to enforce a duty or liability created by the Securities Exchange Act of 1934, as amended (Exchange Act), or any other claim for which the federal courts of the United States have exclusive jurisdiction.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Although we believe these provisions benefit us by providing increased consistency in the application of Delaware law for the specified types of actions and proceedings, the provisions may have the effect of discouraging lawsuits against us or our directors and officers. Alternatively, if a court were to find the choice of forum provision contained in our amended and restated certificate of incorporation to be inapplicable or unenforceable in an action, we may incur additional costs associated with resolving such action in other jurisdictions, which could harm our business, financial condition, and operating results. For example, under the Securities Act, federal courts have concurrent jurisdiction over all suits brought to enforce any duty or liability created by the Securities Act, and investors cannot waive compliance with the federal securities laws and the rules and regulations thereunder. Any person or entity purchasing or otherwise acquiring any interest in our shares of capital stock will be deemed to have notice of and consented to this exclusive forum provision, but will not be deemed to have waived our compliance with the federal securities laws and the rules and regulations thereunder. </w:t>
      </w:r>
    </w:p>
    <w:p>
      <w:pPr>
        <w:pStyle w:val="TextBody"/>
        <w:bidi w:val="0"/>
        <w:spacing w:before="360" w:after="283"/>
        <w:jc w:val="left"/>
        <w:rPr>
          <w:rFonts w:ascii="Times New Roman" w:hAnsi="Times New Roman"/>
          <w:sz w:val="20"/>
        </w:rPr>
      </w:pPr>
      <w:r>
        <w:rPr>
          <w:rFonts w:ascii="Times New Roman" w:hAnsi="Times New Roman"/>
          <w:b/>
          <w:i/>
          <w:color w:val="000000"/>
          <w:sz w:val="20"/>
        </w:rPr>
        <w:t>Our ability to use our net operating loss carryforwards and certain other tax attributes may be limited.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Under the Tax Cuts and Jobs Act of 2017 (Tax Act), as modified by the Coronavirus Aid, Relief, and Economic Stability Act (CARES Act), our federal net operating losses (NOLs) generated in tax years beginning after December 31, 2017, may be carried forward indefinitely, but the deductibility of such federal NOLs is limited to 80% of taxable income. In addition, under Sections 382 and 383 of the Internal Revenue Code of 1986, as amended (the Code), if a corporation undergoes an “ownership change,” generally defined as a greater than 50 percentage point change (by value) in its equity ownership by certain stockholders over a three-year period, the corporation’s ability to use its pre-change NOL and other pre-change tax attributes, such as research and development tax credits, to offset its post-change income or taxes may be limited. We may have experienced ownership changes in the past and may experience ownership changes as a result of subsequent shifts in our stock ownership, some of which are outside our control. As a result, our ability to use our pre-change NOLs and tax credits to offset post-change taxable income, if any, could be subject to limitations. Similar provisions of state tax law may also apply. In addition, at the state level, there may be periods during which the use of NOLs is suspended or otherwise limited, which could accelerate or permanently increase state taxes owed. As a result, even if we attain profitability, we may be unable to use and gain the benefit of a material portion of our NOLs and tax credits.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Changes in United States and foreign tax laws could have a material adverse effect on our business, cash flow, results of operations, or financial conditions.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subject to tax laws, regulations, and policies of the United States federal, state, and local governments and of comparable taxing authorities in foreign jurisdictions. Changes in tax laws, and in the administration of such laws, could cause fluctuations in our effective tax rate, our cashflow, our operating results, or our reported financial condition. For example, beginning in 2022, the Tax Act eliminated the option to deduct research and development expenditures currently and requires taxpayers to capitalize and amortize those expenditures pursuant to Section 174 of the Code. The OBBBA revised these rules, permitting the deduction of certain United States research and development expenditures incurred in tax years beginning on or after January 1, 2025 on a current basis, but expenditures attributable to research and development conducted outside of the United States must continue to be capitalized and amortized over the 15-year period. We evaluated the impact of these provisions on our financial statements and concluded they do not have a material impact on our consolidated financial statements. If and when we become profitable, any new or changes to tax laws could adversely affect our effective tax rate, tax obligations, tax credits, including the orphan drug designation credit, or incentives.</w:t>
      </w:r>
    </w:p>
    <w:p>
      <w:pPr>
        <w:pStyle w:val="TextBody"/>
        <w:bidi w:val="0"/>
        <w:spacing w:before="360" w:after="283"/>
        <w:jc w:val="left"/>
        <w:rPr>
          <w:rFonts w:ascii="Times New Roman" w:hAnsi="Times New Roman"/>
          <w:sz w:val="20"/>
        </w:rPr>
      </w:pPr>
      <w:r>
        <w:rPr>
          <w:rFonts w:ascii="Times New Roman" w:hAnsi="Times New Roman"/>
          <w:b/>
          <w:color w:val="000000"/>
          <w:sz w:val="20"/>
        </w:rPr>
        <w:t>General Risk Factors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Our quarterly operating results may fluctuate significantly or may fall below the expectations of investors or securities analysts, each of which may cause our stock price to fluctuate or decline.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expect our operating results to be subject to quarterly fluctuations. Our net loss and other operating results will be affected by numerous factors,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timing and variations in the level of expense related to the current or future development of our programs;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timing and status of enrollment for our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or fluctuations in our stock price and market capitalization, which could impact the value of our contingent obligations and cause fluctuations in our operating expenses as a result of these non-cash adjustments;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impact of geo-political, economic, and other factors beyond our control on us or third parties with which we collaborate or that we engage;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results of clinical trials, or the addition or termination of such clinical trials or funding support by us or potential future partners or other third parties;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execution of any collaboration, licensing, or similar arrangements, or other agreements, including leases, sub-leases, or other agreements related to our facilities, and the timing of payments we may make or receive under, or the termination, modification, or breach of, any such arrangements;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intellectual property infringement, misappropriation, or violation lawsuit or opposition, interference, post-grant proceeding, or cancellation proceeding in which we may become involved;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additions and departures of key personnel;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strategic decisions by us or our competitors, such as acquisitions, divestitures, spin-offs, joint ventures, strategic investments, or changes in business strategy;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impact of global supply chain issues and inflation on the costs of laboratory consumables, supplies, and equipment required for our ongoing operations;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any product candidate we may develop receives regulatory approval, the timing and terms of such approval and market acceptance and demand for such product candidate;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timing and cost of establishing a sales, marketing, and distribution infrastructure to commercialize any products for which we may obtain marketing approval and intend to commercialize on our own or jointly with current or future collaborators;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regulatory developments affecting current or future product candidates or those of our competitors;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amount of expense or gain associated with the change in value of the success payments and contingent consideration;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general market and economic conditions.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our quarterly operating results fall below the expectations of investors or securities analysts, the price of our common stock could decline substantially. Furthermore, any quarterly fluctuations in our operating results may, in turn, cause the price of our stock to fluctuate substantially. We believe that quarterly comparisons of our financial results are not necessarily meaningful and should not be relied upon as an indication of our future performance. </w:t>
      </w:r>
    </w:p>
    <w:p>
      <w:pPr>
        <w:pStyle w:val="TextBody"/>
        <w:bidi w:val="0"/>
        <w:spacing w:before="360" w:after="283"/>
        <w:jc w:val="left"/>
        <w:rPr>
          <w:rFonts w:ascii="Times New Roman" w:hAnsi="Times New Roman"/>
          <w:sz w:val="20"/>
        </w:rPr>
      </w:pPr>
      <w:r>
        <w:rPr>
          <w:rFonts w:ascii="Times New Roman" w:hAnsi="Times New Roman"/>
          <w:b/>
          <w:i/>
          <w:color w:val="000000"/>
          <w:sz w:val="20"/>
        </w:rPr>
        <w:t>Our stock price may be volatile or may decline regardless of our operating performance, which may result in substantial losses for investors and may potentially subject us to securities class action litigation, which is expensive and could divert management’s attention.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market price of our common stock, as well as investor perceptions of our business and its value, may be highly volatile and may fluctuate substantially as a result of a variety of factors, some of which are related in complex ways, and many of which are beyond our control, including the factors listed below and other factors described in these Risk Factors: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commencement of, enrollment in, or results of current and future preclinical studies and clinical trials we may conduct, or changes in the development status of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delay in regulatory filings for our product candidates and any adverse development or perceived adverse development with respect to the applicable regulatory authority’s review of such filings, including the issuance by the FDA of a “refusal to file” letter or a request for additional information;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adverse results or delays in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perceptions regarding the significance of data from our clinical trials, particularly preliminary data;</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decision to initiate a preclinical study or clinical trial, not to initiate a preclinical study or clinical trial, or to terminate an existing preclinical study or clinical trial;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adverse actions taken by regulatory agencies with respect to our preclinical studies or clinical trials, manufacturing supply chain, or sales and marketing activities, including failure to receive regulatory approval of our product candidates or companion diagnostics to such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laws or regulations, including preclinical study or clinical trial requirements for regulatory approvals worldwide;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adverse changes to our relationship with manufacturers or suppliers;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manufacturing, supply, or distribution shortages;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failure to successfully commercialize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the structure of healthcare payment systems;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additions or departures of key scientific or management personnel;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unanticipated serious safety concerns related to the use of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disputes or other developments relating to proprietary rights, including patent rights, trade secrets, litigation matters, and our ability to obtain patent protection for our technologies or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variations in our results of operations;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cash position;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failure to meet the estimates and projections of the investment community or that we may otherwise provide to the public;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 xml:space="preserve">publication of research reports about us or our industry, or </w:t>
      </w:r>
      <w:r>
        <w:rPr>
          <w:rFonts w:ascii="Times New Roman" w:hAnsi="Times New Roman"/>
          <w:i/>
          <w:color w:val="000000"/>
          <w:sz w:val="20"/>
        </w:rPr>
        <w:t>ex vivo</w:t>
      </w:r>
      <w:r>
        <w:rPr>
          <w:color w:val="000000"/>
        </w:rPr>
        <w:t xml:space="preserve"> </w:t>
      </w:r>
      <w:r>
        <w:rPr>
          <w:rFonts w:ascii="Times New Roman" w:hAnsi="Times New Roman"/>
          <w:color w:val="000000"/>
          <w:sz w:val="20"/>
        </w:rPr>
        <w:t xml:space="preserve">and </w:t>
      </w:r>
      <w:r>
        <w:rPr>
          <w:rFonts w:ascii="Times New Roman" w:hAnsi="Times New Roman"/>
          <w:i/>
          <w:color w:val="000000"/>
          <w:sz w:val="20"/>
        </w:rPr>
        <w:t>in vivo</w:t>
      </w:r>
      <w:r>
        <w:rPr>
          <w:color w:val="000000"/>
        </w:rPr>
        <w:t xml:space="preserve"> </w:t>
      </w:r>
      <w:r>
        <w:rPr>
          <w:rFonts w:ascii="Times New Roman" w:hAnsi="Times New Roman"/>
          <w:color w:val="000000"/>
          <w:sz w:val="20"/>
        </w:rPr>
        <w:t xml:space="preserve">cell engineering products in particular, or positive or negative recommendations or withdrawal of research coverage by securities analysts;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announcements made by us or our competitors about new product candidates and programs, success, setbacks, or other updates related to product candidates and programs that exist or are under development, strategic transactions and relationships, such as acquisitions collaborations, and joint ventures, or capital commitments;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inability to establish or successfully maintain any collaborations or other strategic relationships, if needed;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effectively manage our future operations;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size and growth of our initial target markets;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the market valuations of similar companies;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academic or other publications regarding our or adjacent industries, including regarding cell and gene therapy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press reports and other public disclosures by third parties, including through social media, whether or not true, about our business and the fields in which we operate;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sales or perceived potential sales of our common stock by us or our stockholders;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overall fluctuations in the equity markets;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ineffectiveness of our internal controls;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accounting practices or principles;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or developments in the global legal and regulatory environment, including any new laws or regulations, or amendments to existing laws or regulations, that may impact the commercial environment for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litigation involving us, our industry, or both, or investigations by regulators into our operations or those of our competitors;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general political and economic conditions both within and outside the United States, including changes in interest rates, inflation, geo-political and economic instability (including from the conflicts between Russia and Ukraine and in the Middle East), tensions in ex-U.S. (including U.S.-China) relations, changes in government administration policy positions, and economic and tax policies announced by foreign countries;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 events or factors, many of which are beyond our control.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stock market in general, and biopharmaceutical companies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 If the market price of our common stock does not exceed your purchase price, you may not realize any return on, and may lose some or all of, your investment. In addition, because the biotechnology industry is complex and subject to heightened risks as compared to many other industries, investors may be reluctant to place value in and invest in our company and choose instead to prioritize investment in other companies and industries, including those that may be perceived as more stable or that prioritize initiatives that may not be relevant to our industry or practical for us to prioritize at this stage in our development.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The market price of our common stock has fluctuated since our initial public offering (IPO) and may continue in the future to be volatile. Securities class action litigation has often been instituted against companies following periods of volatility in the market price of a company’s securities. For example, as described elsewhere in this Quarterly Report, the pending litigation captioned </w:t>
      </w:r>
      <w:r>
        <w:rPr>
          <w:rFonts w:ascii="Times New Roman" w:hAnsi="Times New Roman"/>
          <w:i/>
          <w:color w:val="000000"/>
          <w:sz w:val="20"/>
        </w:rPr>
        <w:t>In re Sana Biotechnology, Inc., Securities Litigation</w:t>
      </w:r>
      <w:r>
        <w:rPr>
          <w:rFonts w:ascii="Times New Roman" w:hAnsi="Times New Roman"/>
          <w:color w:val="000000"/>
          <w:sz w:val="20"/>
        </w:rPr>
        <w:t>, No. 2:25-cv-00512-BJR, involves claims asserted against the defendants under Section 10(b) of the Exchange Act, including Rule 10b-5 promulgated thereunder, and Section 20(a) of the Exchange Act (the Securities Lawsuit). The defendants intend to vigorously defend themselves in the Securities Lawsuit, but there can be no assurances as to the outcome. This litigation, and any other future litigation that may be instituted, could result in substantial costs and a diversion of management’s attention and resources, which would harm our business, operating results, or financial condition.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Market and economic conditions may negatively impact our business, financial condition, and share price.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Concerns about inflation, interest rates, energy costs, geo-political issues, the United States mortgage market and a declining real estate market, unstable global credit markets and financial conditions, and volatile oil prices have led to periods of significant economic instability, diminished liquidity and credit availability, declines in investment in industries perceived as complex or higher risk, such as biotechnology, declines in consumer confidence and discretionary spending, diminished expectations for the global economy and expectations of slower global economic growth going forward, increased unemployment rates, and increased credit defaults in recent years. Our general business strategy may be adversely affected by any such economic downturns, volatile business environments, and continued unstable or unpredictable economic and market conditions, including as a result of a prolonged government shutdown, or the perception or possibility that such a shutdown may occur. Adverse developments with respect to specific financial institutions or the broader financial services industry that have occurred or may occur in the future may lead to market-wide liquidity shortages, impair our ability to access near-term working capital needs, and create additional market and economic uncertainty. There can be no assurance that future credit and financial market instability and a deterioration in confidence in economic conditions will not occur, and we cannot predict the impact or follow-on effects of these insolvencies more broadly or on our business in particular. Further, there is no guarantee that the government will intervene to provide depositors with access to funds if similar events occur in the future. If other banks and financial institutions with which we have commercial relationships enter receivership or become insolvent in the future, our ability to access our existing cash, cash equivalents, and investments may be threatened, which could adversely affect our business and financial condition. If any of the events described occur, or if the market and economic conditions described above continue to deteriorate or do not improve, it may make any necessary debt or equity financing more difficult to complete, more costly, and more dilutive. Failure to secure any necessary financing in a timely manner and on favorable terms could have a material adverse effect on our growth strategy, financial performance, and stock price.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assess and prioritize our programs on an ongoing basis based on various factors, including internal and external opportunities and constraints, which may result in our decision to advance certain programs ahead or instead of others. Given the volatility in our stock price and the increased difficulty in accessing global credit markets and raising capital due to the market and economic conditions described above, we have adjusted our pipeline prioritization strategy and resource allocation in order to focus on the development of a limited number of programs that we believe have higher probabilities of success compared to other programs in our portfolio. In particular, we have or may in the future gate investment in our programs, with future investment dependent on our achievement of certain milestones. Even if our programs achieve the required milestones, development and potential commercialization of our product candidates may be delayed, which could materially harm our competitive position. Further, in order to manage resource constraints and extend our cash runway, we may be required to further adjust our pipeline prioritization strategy and resource allocation, including based on limited data. As a result, we may be required to delay or halt the development of potentially promising programs to focus our resources on a more limited number of programs that we believe have a higher probability of success. For example, as described elsewhere in this Quarterly Report, in November 2025, we conducted a portfolio prioritization to prioritize future development of our SC451 and SG293 programs and suspended development of our allogeneic cell therapy CAR T programs. Such decisions have, and in the future would, reduce the breadth and diversity of our portfolio and investments therein, potentially limit the long-term growth of our pipeline, and increase the risk and extent of the negative impact on our business if such programs are not successful.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Additionally, rising rates of inflation in recent years have increased the costs associated with conducting our business, including by causing substantial increases in the costs of materials, including raw materials and consumables, equipment, services, and labor. Given that we do not currently generate revenue from sales of any of our product candidates, we do not have an ability to offset these increases in our costs. Moreover, given the unpredictable nature of the current economic climate, including future changes in rates of inflation, it may be increasingly difficult for us to predict and control our future expenses, which may harm our ability to conduct our business. </w:t>
      </w:r>
    </w:p>
    <w:p>
      <w:pPr>
        <w:pStyle w:val="TextBody"/>
        <w:bidi w:val="0"/>
        <w:spacing w:before="360" w:after="283"/>
        <w:jc w:val="left"/>
        <w:rPr>
          <w:rFonts w:ascii="Times New Roman" w:hAnsi="Times New Roman"/>
          <w:sz w:val="20"/>
        </w:rPr>
      </w:pPr>
      <w:r>
        <w:rPr>
          <w:rFonts w:ascii="Times New Roman" w:hAnsi="Times New Roman"/>
          <w:b/>
          <w:i/>
          <w:color w:val="000000"/>
          <w:sz w:val="20"/>
        </w:rPr>
        <w:t>We or the third parties upon whom we depend may be adversely affected by natural disasters, including earthquakes, fires, typhoons, and floods, public health epidemics, telecommunications or electrical failures, geo-political actions, including war and terrorism, political and economic instability, and other events beyond our control, and our business continuity and disaster recovery plans may not adequately protect us from a serious disaster.</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or our partners, CROs, CDMOs, or other service providers, may experience interruptions to our operations, including the conduct of our research and development programs, clinical trials, and manufacturing operations, due to natural disasters, including earthquakes, fires, typhoons, and floods, public health epidemics, hardware, software, telecommunication or electrical failures, geo-political actions, including war and terrorism, or political and economic instability, which could significantly disrupt or harm our business.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corporate headquarters and other facilities are located in areas that have experienced significant natural disasters, including the San Francisco Bay Area and Seattle, Washington, each of which has experienced severe effects from wildfires and, in the case of the San Francisco Bay Area, severe earthquakes. We do not carry earthquake insurance. Earthquakes, wildfires, or other natural disasters could severely disrupt our operations, and could materially and adversely affect our business, financial condition, results of operations, and prospects. If a natural disaster, electrical failure, or other event occurs that prevents us from using all or a significant portion of our headquarters or other facilities, damages critical infrastructure, or otherwise disrupts operations, it may be difficult or, in certain cases, impossible, for us to continue our business for a substantial period of time. For example, a prolonged electrical failure could result in damage to or destruction of materials that are critical for our research and manufacturing operations, including our master cell banks, which would delay the advancement of our programs and materially harm our business, operating results, prospects, or financial condition. In addition, a failure of our computing systems could result in the loss of research or preclinical data important to our research or development programs, interrupt the conduct of ongoing research, or otherwise impair our ability to operate, which could delay the advancement of our programs or cause us to incur costs to recover or reproduce lost data. In addition, if in the future a natural disaster, power outage, or other event occurred that prevented us from using all or a significant portion of any manufacturing capabilities we may have, we may not be able to manufacture sufficient supply of our product candidates required to conduct our clinical trials or commercialize our products in accordance with our timelines or at all. The disaster recovery and business continuity plans we currently have in place are limited and are unlikely to prove adequate in the event of a serious disaster or similar event. We may incur substantial expenses as a result of the limited nature of our disaster recovery and business continuity plans, which, together with our lack of earthquake insurance in particular, could have a material adverse effect on our business.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Integral parties in our supply chain are similarly vulnerable to natural disasters or other sudden, unforeseen, and severe adverse events. In addition, our supply chain is vulnerable to changes in the geo-political and economic climate, including changes in relationships between the United States and countries from which we may need to source materials and other resources necessary for the preclinical evaluation of our product candidates, including animal models, and specifically non-human primate models, or to manufacture our product candidates, including raw and intermediate materials and consumables. If any such event or change were to affect our supply chain, it could have a material adverse effect on our business.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Potential disruptions from a pandemic, epidemic, or infectious disease outbreak have in the past, and may in the future, include delays or disruptions in our research, preclinical, clinical, manufacturing, and regulatory activities, including due to limitations on employee or other resources both internally and at third parties, including government agencies, or delays in procuring, or inability to procure, necessary supplies, materials, and equipment. The extent to which a pandemic, epidemic, or other outbreak may impact our preclinical studies, clinical trials, business, financial condition, and results of operations will depend on future developments, which continue to be highly uncertain and unpredictable.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Furthermore, geo-political actions, such as the conflicts in Ukraine and the Middle East, trade restrictions, and the resulting political and economic instability, could negatively impact our operations. Although it is difficult to anticipate the impact of any of the foregoing on our company in particular, such geo-political actions, and any actions taken in response thereto, could increase our costs, disrupt our supply chain, impact our timelines, impair our ability to raise or access additional capital when needed on acceptable terms, if at all, or otherwise adversely affect our business, financial condition, and results of operations.</w:t>
      </w:r>
    </w:p>
    <w:p>
      <w:pPr>
        <w:pStyle w:val="TextBody"/>
        <w:bidi w:val="0"/>
        <w:spacing w:before="360" w:after="283"/>
        <w:jc w:val="left"/>
        <w:rPr>
          <w:rFonts w:ascii="Times New Roman" w:hAnsi="Times New Roman"/>
          <w:sz w:val="20"/>
        </w:rPr>
      </w:pPr>
      <w:r>
        <w:rPr>
          <w:rFonts w:ascii="Times New Roman" w:hAnsi="Times New Roman"/>
          <w:b/>
          <w:i/>
          <w:color w:val="000000"/>
          <w:sz w:val="20"/>
        </w:rPr>
        <w:t>If securities or industry analysts either do not publish research about us or publish inaccurate or unfavorable research about us, our business, our market, or our competitors, or if they adversely change their recommendations regarding our common stock, the trading price or trading volume of our common stock could decline.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trading market for our common stock is influenced in part by the research and reports that securities or industry analysts may publish about us, our business, our market, or our competitors. We do not have any control over the analysts or the content and opinions included in their research and reports. If one or more of these analysts issue an unfavorable rating or downgrade our common stock, provide a more favorable recommendation about our competitors, or publish inaccurate or unfavorable research about our business, our common stock price would likely decline. If any analyst who may cover us were to cease such coverage or fail to regularly publish reports on us, we could lose visibility in the financial markets and demand for our common stock could decrease, which could cause the trading price or trading volume of our common stock to decline.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We are an emerging growth company and a smaller reporting company, and any decision on our part to comply only with certain reduced reporting and disclosure requirements applicable to such companies could make our common stock less attractive to investors.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an “emerging growth company” as defined in the JOBS Act, and, for as long as we continue to be an emerging growth company, we may choose to take advantage of exemptions from various reporting requirements applicable to other public companies but not to emerging growth companies,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not being required to have our independent registered public accounting firm audit our internal control over financial reporting under Section 404 of the Sarbanes-Oxley Act of 2002 (the Sarbanes-Oxley Act);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reduced disclosure obligations regarding executive compensation in our periodic reports and annual reports on Form 10-K;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exemptions from the requirements of holding non-binding advisory votes on executive compensation and stockholder approval of any golden parachute payments not previously approved.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status as an emerging growth company will end as soon as any of the following takes place: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last day of the fiscal year in which we have more than $1.235 billion in annual revenue;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date we qualify as a “large accelerated filer,” with at least $700 million of equity securities held by non-affiliates;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date on which we have issued, in any three-year period, more than $1.0 billion in non-convertible debt securities; 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last day of the fiscal year ending after the fifth anniversary of the completion of our IPO, which is December 31, 2026.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are also a “smaller reporting company” as defined in the Exchange Act. Even after we no longer qualify as an emerging growth company, we may still qualify as a smaller reporting company, which would allow us to take advantage of many of the same exemptions from reporting requirements, including reduced disclosure obligations regarding executive compensation in our periodic reports and annual reports on Form 10-K. Investors may find our common stock less attractive as a result of our decision to rely on any of the exemptions afforded to emerging growth companies or smaller reporting companies, which may result in a less active trading market for our common stock and the market price of our common stock may be more volatile.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under the JOBS Act, emerging growth companies can also delay adopting new or revised accounting standards until such time as those standards apply to private companies. We have elected to use this extended transition period for any new or revised accounting standards during the period in which we remain an emerging growth company (or we affirmatively and irrevocably opted out of the extended transition period); however, we may adopt certain new or revised accounting standards early. As a result, these financial statements may not be comparable to companies that comply with the new or revised accounting pronouncements as of public company effective dates. </w:t>
      </w:r>
    </w:p>
    <w:p>
      <w:pPr>
        <w:pStyle w:val="TextBody"/>
        <w:bidi w:val="0"/>
        <w:spacing w:before="360" w:after="283"/>
        <w:jc w:val="left"/>
        <w:rPr>
          <w:rFonts w:ascii="Times New Roman" w:hAnsi="Times New Roman"/>
          <w:sz w:val="20"/>
        </w:rPr>
      </w:pPr>
      <w:r>
        <w:rPr>
          <w:rFonts w:ascii="Times New Roman" w:hAnsi="Times New Roman"/>
          <w:b/>
          <w:i/>
          <w:color w:val="000000"/>
          <w:sz w:val="20"/>
        </w:rPr>
        <w:t>The requirements of being a public company may strain our resources, result in an increased risk of litigation, and divert management’s attention.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a public company, we are subject to the reporting requirements of the Exchange Act, the Sarbanes-Oxley Act, the Dodd-Frank Wall Street Reform and Consumer Protection Act, the listing requirements of Nasdaq, and other applicable securities rules and regulations. Complying with these rules and regulations has and will in the future increase our legal and financial compliance costs, make some activities more difficult, time-consuming, or costly, and increase demand on our systems and resources. The Exchange Act requires, among other things, that we file annual, quarterly, and current reports with respect to our business and operating results. The Sarbanes-Oxley Act requires, among other things, that we maintain effective disclosure controls and procedures and internal control over financial reporting. We are required to disclose changes made in our internal control and procedures on a quarterly basis. In order to maintain and, if required, improve our disclosure controls and procedures and internal control over financial reporting to meet the requirements of the Sarbanes-Oxley Act, significant resources and management oversight may be required. As a result, management’s attention may be diverted from other business concerns, which could adversely affect our business and operating results. We may also need to hire additional employees or engage outside consultants to comply with these requirements, which will increase our costs and expenses.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changing laws, regulations, and standards relating to corporate governance and public disclosure create uncertainty for public companies, increase legal and financial compliance costs, and make some activities more time-consuming.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intend to continue to invest resources to comply with evolving laws, regulations, and standards, and this investment may result in increased general and administrative expenses and a diversion of management’s time and attention from potential revenue-generating activities to compliance activities. If our efforts to comply with new laws, regulations, and standards fail to meet the requirements of the applicable regulatory or governing bodies, including due to ambiguities related to their application in practice, regulatory authorities may initiate legal proceedings against us, and our business may be adversely affected.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New laws, rules, and standards and our efforts necessary to comply may make it more expensive for us to obtain director and officer liability insurance and, in the future, we may be required to accept reduced coverage or incur substantially higher costs to obtain coverage. These factors could also make it more difficult for us to attract and retain qualified members of our board of directors, particularly to serve on our audit committee and compensation and talent committee, and qualified officers. Additionally, an increase in the cost of such insurance may cause us to opt for lower overall policy limits or to forgo insurance that we may otherwise rely on to cover defense costs, settlements, and damages awarded to plaintiffs in connection with any securities litigation.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By disclosing information in the periodic filings required of a public company, our business and financial condition are more visible, which we believe may result in threatened or actual litigation, including by competitors and other third parties. For example, as described elsewhere in this Quarterly Report, the Securities Lawsuit involves asserted class action claims against the defendants pursuant to Section 10(b) of the Exchange Act, including Rule 10b-5 promulgated thereunder, as well as claims against the individual defendants pursuant to Section 20(a) of the Exchange Act. If these or any other claims are successful, our business could be seriously harmed. Even when such claims do not result in litigation or are resolved in our favor, the time and resources needed to resolve them could divert our management’s resources and seriously harm our business. </w:t>
      </w:r>
    </w:p>
    <w:p>
      <w:pPr>
        <w:pStyle w:val="TextBody"/>
        <w:bidi w:val="0"/>
        <w:spacing w:before="360" w:after="283"/>
        <w:jc w:val="left"/>
        <w:rPr>
          <w:rFonts w:ascii="Times New Roman" w:hAnsi="Times New Roman"/>
          <w:sz w:val="20"/>
        </w:rPr>
      </w:pPr>
      <w:r>
        <w:rPr>
          <w:rFonts w:ascii="Times New Roman" w:hAnsi="Times New Roman"/>
          <w:b/>
          <w:i/>
          <w:color w:val="000000"/>
          <w:sz w:val="20"/>
        </w:rPr>
        <w:t>If we fail to maintain proper and effective internal controls over financial reporting, our ability to produce accurate and timely financial statements could be impaired.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Pursuant to Section 404 of the Sarbanes-Oxley Act, our management is required to report upon the effectiveness of our internal control over financial reporting. When we lose our status as an emerging growth company, our independent registered public accounting firm will be required to attest to the effectiveness of our internal control over financial reporting. The rules governing the standards that must be met for management to assess our internal control over financial reporting are complex and require significant documentation, testing, and possible remediation. To comply with the requirements of being a reporting company under the Exchange Act, we have implemented and may need to continue to implement additional financial and management controls, reporting systems, and procedures, and may need to hire additional accounting and finance staff.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cannot guarantee that there will not be material weaknesses or significant deficiencies in our internal control over financial reporting in the future. Any failure to maintain internal control over financial reporting could severely inhibit our ability to accurately report our financial condition, results of operations, or cash flows. If we are unable to conclude that our internal control over financial reporting is effective, or if our independent registered public accounting firm determines we have a material weakness or significant deficiency in our internal control over financial reporting, investors may lose confidence in the accuracy and completeness of our financial reports, the market price of our common stock could decline, and we could be subject to sanctions or investigations by Nasdaq, the SEC, or other regulatory authorities. Failure to remedy any material weakness in our internal control over financial reporting, or to implement or maintain other effective control systems required of public companies, could also restrict our future access to the capital markets.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Our disclosure controls and procedures may not prevent or detect all errors or acts of fraud.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subject to the periodic reporting requirements of the Exchange Act. We must design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For example, our directors or executive officers could inadvertently fail to disclose a new relationship or arrangement with a related party, which could cause us to fail to make a required related party transaction disclosure. Additionally, controls can, depending on the circumstances, be circumvented by the acts of a single individual, by collusion of two or more people, or by an unauthorized override of the controls. Accordingly, because of the inherent limitations in our control system, misstatements due to error or fraud may occur and not be detected. </w:t>
      </w:r>
    </w:p>
    <w:p>
      <w:pPr>
        <w:pStyle w:val="TextBody"/>
        <w:bidi w:val="0"/>
        <w:spacing w:before="360" w:after="283"/>
        <w:jc w:val="left"/>
        <w:rPr>
          <w:rFonts w:ascii="Times New Roman" w:hAnsi="Times New Roman"/>
          <w:b/>
          <w:color w:val="000000"/>
          <w:sz w:val="20"/>
        </w:rPr>
      </w:pPr>
      <w:bookmarkStart w:id="17" w:name="item_2_unregistered_sales_equity_securit"/>
      <w:bookmarkEnd w:id="17"/>
      <w:r>
        <w:rPr>
          <w:rFonts w:ascii="Times New Roman" w:hAnsi="Times New Roman"/>
          <w:b/>
          <w:color w:val="000000"/>
          <w:sz w:val="20"/>
        </w:rPr>
        <w:t>Item 2. Unregistered Sales of Equity Securities and Use of Proceeds</w:t>
      </w:r>
    </w:p>
    <w:p>
      <w:pPr>
        <w:pStyle w:val="Heading1"/>
        <w:bidi w:val="0"/>
        <w:spacing w:before="120" w:after="283"/>
        <w:jc w:val="left"/>
        <w:rPr>
          <w:rFonts w:ascii="Times New Roman" w:hAnsi="Times New Roman"/>
          <w:color w:val="000000"/>
          <w:sz w:val="20"/>
        </w:rPr>
      </w:pPr>
      <w:r>
        <w:rPr>
          <w:rFonts w:ascii="Times New Roman" w:hAnsi="Times New Roman"/>
          <w:color w:val="000000"/>
          <w:sz w:val="20"/>
        </w:rPr>
        <w:t>Recent Sales of Unregistered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did not sell any unregistered securities in the three months ended March 31, 2026.</w:t>
      </w:r>
    </w:p>
    <w:p>
      <w:pPr>
        <w:pStyle w:val="TextBody"/>
        <w:bidi w:val="0"/>
        <w:spacing w:before="360" w:after="283"/>
        <w:jc w:val="left"/>
        <w:rPr>
          <w:rFonts w:ascii="Times New Roman" w:hAnsi="Times New Roman"/>
          <w:b/>
          <w:color w:val="000000"/>
          <w:sz w:val="20"/>
        </w:rPr>
      </w:pPr>
      <w:bookmarkStart w:id="18" w:name="item_3_defaults_upon_senior_securities"/>
      <w:bookmarkEnd w:id="18"/>
      <w:r>
        <w:rPr>
          <w:rFonts w:ascii="Times New Roman" w:hAnsi="Times New Roman"/>
          <w:b/>
          <w:color w:val="000000"/>
          <w:sz w:val="20"/>
        </w:rPr>
        <w:t>Item 3. Defaults Upon Senior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360" w:after="283"/>
        <w:jc w:val="left"/>
        <w:rPr>
          <w:rFonts w:ascii="Times New Roman" w:hAnsi="Times New Roman"/>
          <w:b/>
          <w:color w:val="000000"/>
          <w:sz w:val="20"/>
        </w:rPr>
      </w:pPr>
      <w:bookmarkStart w:id="19" w:name="item_4_mine_safety_disclosures"/>
      <w:bookmarkEnd w:id="19"/>
      <w:r>
        <w:rPr>
          <w:rFonts w:ascii="Times New Roman" w:hAnsi="Times New Roman"/>
          <w:b/>
          <w:color w:val="000000"/>
          <w:sz w:val="20"/>
        </w:rPr>
        <w:t>Item 4. Mine Safety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360" w:after="283"/>
        <w:jc w:val="left"/>
        <w:rPr>
          <w:rFonts w:ascii="Times New Roman" w:hAnsi="Times New Roman"/>
          <w:sz w:val="20"/>
        </w:rPr>
      </w:pPr>
      <w:bookmarkStart w:id="20" w:name="item_5_or_information"/>
      <w:bookmarkEnd w:id="20"/>
      <w:r>
        <w:rPr>
          <w:rFonts w:ascii="Times New Roman" w:hAnsi="Times New Roman"/>
          <w:b/>
          <w:color w:val="000000"/>
          <w:sz w:val="20"/>
        </w:rPr>
        <w:t>Item 5. Other</w:t>
      </w:r>
      <w:r>
        <w:rPr>
          <w:rFonts w:ascii="Times New Roman" w:hAnsi="Times New Roman"/>
          <w:color w:val="000000"/>
          <w:sz w:val="20"/>
        </w:rPr>
        <w:t xml:space="preserve"> </w:t>
      </w:r>
      <w:r>
        <w:rPr>
          <w:rFonts w:ascii="Times New Roman" w:hAnsi="Times New Roman"/>
          <w:b/>
          <w:color w:val="000000"/>
          <w:sz w:val="20"/>
        </w:rPr>
        <w:t>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pPr>
      <w:r>
        <w:rPr>
          <w:rFonts w:ascii="Times New Roman" w:hAnsi="Times New Roman"/>
          <w:color w:val="000000"/>
          <w:sz w:val="20"/>
        </w:rPr>
        <w:t>During our last fiscal quarter, no director or officer, as defined in Rule 16a-1(f) under the Exchange Act, adopted</w:t>
      </w:r>
      <w:r>
        <w:rPr>
          <w:color w:val="000000"/>
        </w:rPr>
        <w:t xml:space="preserve"> </w:t>
      </w:r>
      <w:r>
        <w:rPr>
          <w:rFonts w:ascii="Times New Roman" w:hAnsi="Times New Roman"/>
          <w:color w:val="000000"/>
          <w:sz w:val="20"/>
        </w:rPr>
        <w:t>or terminated</w:t>
      </w:r>
      <w:r>
        <w:rPr>
          <w:color w:val="000000"/>
        </w:rPr>
        <w:t xml:space="preserve"> </w:t>
      </w:r>
      <w:r>
        <w:rPr>
          <w:rFonts w:ascii="Times New Roman" w:hAnsi="Times New Roman"/>
          <w:color w:val="000000"/>
          <w:sz w:val="20"/>
        </w:rPr>
        <w:t>a “Rule 10b5-1 trading arrangement” or a “non-Rule 10b5-1 trading arrangement,” each as defined in Regulation S-K Item 408.</w:t>
      </w:r>
      <w:r>
        <w:rPr>
          <w:color w:val="000000"/>
        </w:rPr>
        <w:t xml:space="preserve"> </w:t>
      </w:r>
    </w:p>
    <w:p>
      <w:pPr>
        <w:pStyle w:val="TextBody"/>
        <w:bidi w:val="0"/>
        <w:spacing w:before="12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21" w:name="item_6_exhibits"/>
      <w:bookmarkEnd w:id="21"/>
      <w:r>
        <w:rPr>
          <w:rFonts w:ascii="Times New Roman" w:hAnsi="Times New Roman"/>
          <w:b/>
          <w:color w:val="000000"/>
          <w:sz w:val="20"/>
        </w:rPr>
        <w:t>Item 6.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65"/>
        <w:gridCol w:w="146"/>
        <w:gridCol w:w="9294"/>
      </w:tblGrid>
      <w:tr>
        <w:trPr/>
        <w:tc>
          <w:tcPr>
            <w:tcW w:w="7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94" w:type="dxa"/>
            <w:tcBorders/>
            <w:vAlign w:val="center"/>
          </w:tcPr>
          <w:p>
            <w:pPr>
              <w:pStyle w:val="TableContents"/>
              <w:bidi w:val="0"/>
              <w:spacing w:before="0" w:after="283"/>
              <w:jc w:val="left"/>
              <w:rPr>
                <w:sz w:val="4"/>
                <w:szCs w:val="4"/>
              </w:rPr>
            </w:pPr>
            <w:r>
              <w:rPr>
                <w:sz w:val="4"/>
                <w:szCs w:val="4"/>
              </w:rPr>
            </w:r>
          </w:p>
        </w:tc>
      </w:tr>
      <w:tr>
        <w:trPr/>
        <w:tc>
          <w:tcPr>
            <w:tcW w:w="765" w:type="dxa"/>
            <w:tcBorders/>
            <w:shd w:fill="FFFFFF" w:val="clear"/>
            <w:tcMar>
              <w:top w:w="0" w:type="dxa"/>
              <w:left w:w="0" w:type="dxa"/>
              <w:bottom w:w="0" w:type="dxa"/>
              <w:right w:w="0" w:type="dxa"/>
            </w:tcMar>
            <w:vAlign w:val="center"/>
          </w:tcPr>
          <w:p>
            <w:pPr>
              <w:pStyle w:val="TableContents"/>
              <w:bidi w:val="0"/>
              <w:jc w:val="left"/>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Number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Description</w:t>
            </w:r>
          </w:p>
        </w:tc>
      </w:tr>
      <w:tr>
        <w:trPr/>
        <w:tc>
          <w:tcPr>
            <w:tcW w:w="7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4"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80"/>
                  <w:sz w:val="20"/>
                  <w:u w:val="single"/>
                </w:rPr>
                <w:t>Amended and Restated Certificate of Incorporation (incorporated herein by reference to Exhibit 3.1 to the Company’s Current Report on Form 8-K (File No. 001-39941), filed with the SEC on February 9, 2021)</w:t>
              </w:r>
            </w:hyperlink>
            <w:r>
              <w:rPr>
                <w:rFonts w:ascii="Times New Roman" w:hAnsi="Times New Roman"/>
                <w:color w:val="0000FF"/>
                <w:sz w:val="20"/>
                <w:u w:val="single"/>
              </w:rPr>
              <w:t>.</w:t>
            </w:r>
          </w:p>
        </w:tc>
      </w:tr>
      <w:tr>
        <w:trPr/>
        <w:tc>
          <w:tcPr>
            <w:tcW w:w="7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5"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4"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80"/>
                  <w:sz w:val="20"/>
                  <w:u w:val="single"/>
                </w:rPr>
                <w:t>Amended and Restated Bylaws (incorporated herein by reference to Exhibit 3.2 to the Company’s Current Report on Form 8-K (File No. 001-39941), filed with the SEC on February 9, 2021)</w:t>
              </w:r>
            </w:hyperlink>
            <w:r>
              <w:rPr>
                <w:rFonts w:ascii="Times New Roman" w:hAnsi="Times New Roman"/>
                <w:color w:val="0000FF"/>
                <w:sz w:val="20"/>
                <w:u w:val="single"/>
              </w:rPr>
              <w:t>.</w:t>
            </w:r>
          </w:p>
        </w:tc>
      </w:tr>
      <w:tr>
        <w:trPr/>
        <w:tc>
          <w:tcPr>
            <w:tcW w:w="7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5"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4" w:type="dxa"/>
            <w:tcBorders/>
            <w:shd w:fill="FFFFFF" w:val="clear"/>
            <w:tcMar>
              <w:top w:w="0" w:type="dxa"/>
              <w:left w:w="0" w:type="dxa"/>
              <w:bottom w:w="0" w:type="dxa"/>
              <w:right w:w="0" w:type="dxa"/>
            </w:tcMar>
            <w:vAlign w:val="center"/>
          </w:tcPr>
          <w:p>
            <w:pPr>
              <w:pStyle w:val="TableContents"/>
              <w:bidi w:val="0"/>
              <w:spacing w:before="0" w:after="283"/>
              <w:jc w:val="left"/>
              <w:rPr/>
            </w:pPr>
            <w:r>
              <w:rPr>
                <w:rFonts w:ascii="Times New Roman" w:hAnsi="Times New Roman"/>
                <w:color w:val="000000"/>
                <w:sz w:val="20"/>
              </w:rPr>
              <w:t xml:space="preserve">Reference is made to Exhibits </w:t>
            </w:r>
            <w:hyperlink r:id="rId4">
              <w:r>
                <w:rPr>
                  <w:rStyle w:val="InternetLink"/>
                  <w:rFonts w:ascii="Times New Roman" w:hAnsi="Times New Roman"/>
                  <w:color w:val="0000FF"/>
                  <w:sz w:val="20"/>
                  <w:u w:val="single"/>
                </w:rPr>
                <w:t>3.1</w:t>
              </w:r>
            </w:hyperlink>
            <w:r>
              <w:rPr>
                <w:rFonts w:ascii="Times New Roman" w:hAnsi="Times New Roman"/>
                <w:color w:val="000000"/>
                <w:sz w:val="20"/>
              </w:rPr>
              <w:t xml:space="preserve"> through </w:t>
            </w:r>
            <w:hyperlink r:id="rId5">
              <w:r>
                <w:rPr>
                  <w:rStyle w:val="InternetLink"/>
                  <w:rFonts w:ascii="Times New Roman" w:hAnsi="Times New Roman"/>
                  <w:color w:val="0000FF"/>
                  <w:sz w:val="20"/>
                  <w:u w:val="single"/>
                </w:rPr>
                <w:t>3.2</w:t>
              </w:r>
            </w:hyperlink>
            <w:r>
              <w:rPr>
                <w:rFonts w:ascii="Times New Roman" w:hAnsi="Times New Roman"/>
                <w:color w:val="000000"/>
                <w:sz w:val="20"/>
              </w:rPr>
              <w:t>.</w:t>
            </w:r>
          </w:p>
        </w:tc>
      </w:tr>
      <w:tr>
        <w:trPr/>
        <w:tc>
          <w:tcPr>
            <w:tcW w:w="7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5"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4" w:type="dxa"/>
            <w:tcBorders/>
            <w:shd w:fill="FFFFFF" w:val="clear"/>
            <w:tcMar>
              <w:top w:w="0" w:type="dxa"/>
              <w:left w:w="0" w:type="dxa"/>
              <w:bottom w:w="0" w:type="dxa"/>
              <w:right w:w="0" w:type="dxa"/>
            </w:tcMar>
            <w:vAlign w:val="center"/>
          </w:tcPr>
          <w:p>
            <w:pPr>
              <w:pStyle w:val="TableContents"/>
              <w:bidi w:val="0"/>
              <w:spacing w:before="0" w:after="283"/>
              <w:jc w:val="left"/>
              <w:rPr/>
            </w:pPr>
            <w:hyperlink r:id="rId6">
              <w:r>
                <w:rPr>
                  <w:rStyle w:val="InternetLink"/>
                  <w:rFonts w:ascii="Times New Roman" w:hAnsi="Times New Roman"/>
                  <w:color w:val="000080"/>
                  <w:sz w:val="20"/>
                  <w:u w:val="single"/>
                </w:rPr>
                <w:t>Form of Common Stock Certificate (incorporated herein by reference to Exhibit 4.2 to the Company’s Registration Statement on Form S-1 (File No. 333-252061), filed with the SEC on January 28, 2021)</w:t>
              </w:r>
            </w:hyperlink>
            <w:r>
              <w:rPr>
                <w:rFonts w:ascii="Times New Roman" w:hAnsi="Times New Roman"/>
                <w:color w:val="0000FF"/>
                <w:sz w:val="20"/>
                <w:u w:val="single"/>
              </w:rPr>
              <w:t>.</w:t>
            </w:r>
          </w:p>
        </w:tc>
      </w:tr>
      <w:tr>
        <w:trPr/>
        <w:tc>
          <w:tcPr>
            <w:tcW w:w="7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5"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4.3</w:t>
            </w:r>
          </w:p>
        </w:tc>
        <w:tc>
          <w:tcPr>
            <w:tcW w:w="146" w:type="dxa"/>
            <w:tcBorders/>
            <w:shd w:fill="FFFFFF" w:val="clear"/>
            <w:tcMar>
              <w:top w:w="0" w:type="dxa"/>
              <w:left w:w="0" w:type="dxa"/>
              <w:bottom w:w="0" w:type="dxa"/>
              <w:right w:w="0" w:type="dxa"/>
            </w:tcMar>
            <w:vAlign w:val="center"/>
          </w:tcPr>
          <w:p>
            <w:pPr>
              <w:pStyle w:val="TableContents"/>
              <w:bidi w:val="0"/>
              <w:spacing w:before="120" w:after="283"/>
              <w:jc w:val="left"/>
              <w:rPr/>
            </w:pPr>
            <w:r>
              <w:rPr/>
              <w:t> </w:t>
            </w:r>
          </w:p>
        </w:tc>
        <w:tc>
          <w:tcPr>
            <w:tcW w:w="9294" w:type="dxa"/>
            <w:tcBorders/>
            <w:shd w:fill="FFFFFF" w:val="clear"/>
            <w:tcMar>
              <w:top w:w="0" w:type="dxa"/>
              <w:left w:w="0" w:type="dxa"/>
              <w:bottom w:w="0" w:type="dxa"/>
              <w:right w:w="0" w:type="dxa"/>
            </w:tcMar>
            <w:vAlign w:val="center"/>
          </w:tcPr>
          <w:p>
            <w:pPr>
              <w:pStyle w:val="TableContents"/>
              <w:bidi w:val="0"/>
              <w:spacing w:before="0" w:after="283"/>
              <w:jc w:val="left"/>
              <w:rPr/>
            </w:pPr>
            <w:hyperlink r:id="rId7">
              <w:r>
                <w:rPr>
                  <w:rStyle w:val="InternetLink"/>
                  <w:rFonts w:ascii="Times New Roman" w:hAnsi="Times New Roman"/>
                  <w:color w:val="0000FF"/>
                  <w:sz w:val="20"/>
                  <w:u w:val="single"/>
                </w:rPr>
                <w:t>Form of Pre-Funded Warrant (incorporated herein by reference to Exhibit 4.1 to the Company’s Current Report on Form 8-K (File No. 001-39941), filed with the SEC on February 8, 2024).</w:t>
              </w:r>
            </w:hyperlink>
          </w:p>
        </w:tc>
      </w:tr>
      <w:tr>
        <w:trPr/>
        <w:tc>
          <w:tcPr>
            <w:tcW w:w="7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5"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4" w:type="dxa"/>
            <w:tcBorders/>
            <w:shd w:fill="FFFFFF" w:val="clear"/>
            <w:tcMar>
              <w:top w:w="0" w:type="dxa"/>
              <w:left w:w="0" w:type="dxa"/>
              <w:bottom w:w="0" w:type="dxa"/>
              <w:right w:w="0" w:type="dxa"/>
            </w:tcMar>
            <w:vAlign w:val="center"/>
          </w:tcPr>
          <w:p>
            <w:pPr>
              <w:pStyle w:val="TableContents"/>
              <w:bidi w:val="0"/>
              <w:spacing w:before="0" w:after="283"/>
              <w:jc w:val="left"/>
              <w:rPr/>
            </w:pPr>
            <w:hyperlink r:id="rId8">
              <w:r>
                <w:rPr>
                  <w:rStyle w:val="InternetLink"/>
                  <w:rFonts w:ascii="Times New Roman" w:hAnsi="Times New Roman"/>
                  <w:color w:val="0000FF"/>
                  <w:sz w:val="20"/>
                  <w:u w:val="single"/>
                </w:rPr>
                <w:t>Form of Pre-Funded Warrant (incorporated herein by reference to Exhibit 4.1 to the Company’s Current Report on Form 8-K (File No. 001-39941), filed with the SEC on August 7, 2025).</w:t>
              </w:r>
            </w:hyperlink>
          </w:p>
        </w:tc>
      </w:tr>
      <w:tr>
        <w:trPr/>
        <w:tc>
          <w:tcPr>
            <w:tcW w:w="7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5"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4" w:type="dxa"/>
            <w:tcBorders/>
            <w:shd w:fill="FFFFFF" w:val="clear"/>
            <w:tcMar>
              <w:top w:w="0" w:type="dxa"/>
              <w:left w:w="0" w:type="dxa"/>
              <w:bottom w:w="0" w:type="dxa"/>
              <w:right w:w="0" w:type="dxa"/>
            </w:tcMar>
            <w:vAlign w:val="center"/>
          </w:tcPr>
          <w:p>
            <w:pPr>
              <w:pStyle w:val="TableContents"/>
              <w:bidi w:val="0"/>
              <w:spacing w:before="0" w:after="283"/>
              <w:jc w:val="left"/>
              <w:rPr/>
            </w:pPr>
            <w:hyperlink r:id="rId9">
              <w:r>
                <w:rPr>
                  <w:rStyle w:val="InternetLink"/>
                  <w:rFonts w:ascii="Times New Roman" w:hAnsi="Times New Roman"/>
                  <w:color w:val="0000FF"/>
                  <w:sz w:val="20"/>
                  <w:u w:val="single"/>
                </w:rPr>
                <w:t>Offer Letter by and between the Company and Brian Piper, dated as of January 27, 2026 (incorporated herein by reference to Exhibit 10.1 to the Company’s Current Report on Form 8-K (File No. 001-39941), filed with the SEC on February 17, 2026).</w:t>
              </w:r>
            </w:hyperlink>
          </w:p>
        </w:tc>
      </w:tr>
      <w:tr>
        <w:trPr/>
        <w:tc>
          <w:tcPr>
            <w:tcW w:w="7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5"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4"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0">
              <w:r>
                <w:rPr>
                  <w:rStyle w:val="InternetLink"/>
                  <w:rFonts w:ascii="Times New Roman" w:hAnsi="Times New Roman"/>
                  <w:color w:val="0000FF"/>
                  <w:sz w:val="20"/>
                  <w:u w:val="single"/>
                </w:rPr>
                <w:t>Non-Employee Director Compensation Program (incorporated herein by reference to Exhibit 10.9 to the Company’s Annual Report on Form 10-K (File No. 001-39941), filed with the SEC on March 3, 2026).</w:t>
              </w:r>
            </w:hyperlink>
          </w:p>
        </w:tc>
      </w:tr>
      <w:tr>
        <w:trPr/>
        <w:tc>
          <w:tcPr>
            <w:tcW w:w="7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5"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4"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1">
              <w:r>
                <w:rPr>
                  <w:rStyle w:val="InternetLink"/>
                  <w:rFonts w:ascii="Times New Roman" w:hAnsi="Times New Roman"/>
                  <w:color w:val="0000FF"/>
                  <w:sz w:val="20"/>
                  <w:u w:val="single"/>
                </w:rPr>
                <w:t>Amended and Restated Sales Agreement by and between the Company and TD Securities (USA) LLC, dated as of March 3, 2026 (incorporated herein by reference to Exhibit 1.1 to the Company’s Current Report on Form 8-K (File No. 001-39941), filed with the SEC on March 3, 2026).</w:t>
              </w:r>
            </w:hyperlink>
          </w:p>
        </w:tc>
      </w:tr>
      <w:tr>
        <w:trPr/>
        <w:tc>
          <w:tcPr>
            <w:tcW w:w="7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5" w:type="dxa"/>
            <w:tcBorders/>
            <w:shd w:fill="FFFFFF" w:val="clear"/>
            <w:tcMar>
              <w:top w:w="0" w:type="dxa"/>
              <w:left w:w="0" w:type="dxa"/>
              <w:bottom w:w="0" w:type="dxa"/>
              <w:right w:w="0" w:type="dxa"/>
            </w:tcMar>
            <w:vAlign w:val="center"/>
          </w:tcPr>
          <w:p>
            <w:pPr>
              <w:pStyle w:val="TableContents"/>
              <w:bidi w:val="0"/>
              <w:jc w:val="left"/>
              <w:rPr>
                <w:color w:val="000000"/>
              </w:rPr>
            </w:pPr>
            <w:r>
              <w:rPr>
                <w:color w:val="000000"/>
              </w:rPr>
              <w:t>  </w:t>
            </w:r>
            <w:r>
              <w:rPr>
                <w:rFonts w:ascii="Times New Roman" w:hAnsi="Times New Roman"/>
                <w:color w:val="000000"/>
                <w:sz w:val="20"/>
              </w:rPr>
              <w:t>10.4</w:t>
            </w:r>
          </w:p>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4"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2">
              <w:r>
                <w:rPr>
                  <w:rStyle w:val="InternetLink"/>
                  <w:rFonts w:ascii="Times New Roman" w:hAnsi="Times New Roman"/>
                  <w:color w:val="0000FF"/>
                  <w:sz w:val="20"/>
                  <w:u w:val="single"/>
                </w:rPr>
                <w:t>Stock Purchase Agreement by and between the Company and Mayo Clinic, dated as of April 10, 2026 (incorporated herein by reference to Exhibit 10.1 to the Company's Current Report on Form 8-K (File No. 001-39941), filed with the SEC on April 13, 2026).</w:t>
              </w:r>
            </w:hyperlink>
            <w:r>
              <w:rPr>
                <w:rFonts w:ascii="Times New Roman" w:hAnsi="Times New Roman"/>
                <w:color w:val="000000"/>
                <w:sz w:val="20"/>
              </w:rPr>
              <w:t xml:space="preserve"> </w:t>
            </w:r>
          </w:p>
        </w:tc>
      </w:tr>
      <w:tr>
        <w:trPr/>
        <w:tc>
          <w:tcPr>
            <w:tcW w:w="7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5"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ana-ex31_1.htm">
              <w:r>
                <w:rPr>
                  <w:rStyle w:val="InternetLink"/>
                  <w:rFonts w:ascii="Times New Roman" w:hAnsi="Times New Roman"/>
                  <w:color w:val="0000FF"/>
                  <w:sz w:val="20"/>
                  <w:u w:val="single"/>
                </w:rPr>
                <w:t>Certification of Principal Executive Officer Pursuant to Rules 13a-14(a) and 15d-14(a) under the Securities Exchange Act of 1934, as Adopted Pursuant to Section 302 of the Sarbanes-Oxley Act of 2002.</w:t>
              </w:r>
            </w:hyperlink>
          </w:p>
        </w:tc>
      </w:tr>
      <w:tr>
        <w:trPr/>
        <w:tc>
          <w:tcPr>
            <w:tcW w:w="7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5" w:type="dxa"/>
            <w:tcBorders/>
            <w:shd w:fill="FFFFFF" w:val="clear"/>
            <w:tcMar>
              <w:top w:w="0" w:type="dxa"/>
              <w:left w:w="0" w:type="dxa"/>
              <w:bottom w:w="0" w:type="dxa"/>
              <w:right w:w="0" w:type="dxa"/>
            </w:tcMar>
            <w:vAlign w:val="center"/>
          </w:tcPr>
          <w:p>
            <w:pPr>
              <w:pStyle w:val="TableContents"/>
              <w:bidi w:val="0"/>
              <w:jc w:val="left"/>
              <w:rPr>
                <w:color w:val="000000"/>
              </w:rPr>
            </w:pPr>
            <w:r>
              <w:rPr>
                <w:color w:val="000000"/>
              </w:rPr>
              <w:t>  </w:t>
            </w:r>
            <w:r>
              <w:rPr>
                <w:rFonts w:ascii="Times New Roman" w:hAnsi="Times New Roman"/>
                <w:color w:val="000000"/>
                <w:sz w:val="20"/>
              </w:rPr>
              <w:t>31.2*</w:t>
            </w:r>
          </w:p>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ana-ex31_2.htm">
              <w:r>
                <w:rPr>
                  <w:rStyle w:val="InternetLink"/>
                  <w:rFonts w:ascii="Times New Roman" w:hAnsi="Times New Roman"/>
                  <w:color w:val="0000FF"/>
                  <w:sz w:val="20"/>
                  <w:u w:val="single"/>
                </w:rPr>
                <w:t>Certification of Principal Financial Officer Pursuant to Rules 13a-14(a) and 15d-14(a) under the Securities Exchange Act of 1934, as Adopted Pursuant to Section 302 of the Sarbanes-Oxley Act of 2002.</w:t>
              </w:r>
            </w:hyperlink>
          </w:p>
        </w:tc>
      </w:tr>
      <w:tr>
        <w:trPr/>
        <w:tc>
          <w:tcPr>
            <w:tcW w:w="7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5"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ana-ex32_1.htm">
              <w:r>
                <w:rPr>
                  <w:rStyle w:val="InternetLink"/>
                  <w:rFonts w:ascii="Times New Roman" w:hAnsi="Times New Roman"/>
                  <w:color w:val="0000FF"/>
                  <w:sz w:val="20"/>
                  <w:u w:val="single"/>
                </w:rPr>
                <w:t>Certification of Principal Executive Officer Pursuant to 18 U.S.C. Section 1350, as Adopted Pursuant to Section 906 of the Sarbanes-Oxley Act of 2002.</w:t>
              </w:r>
            </w:hyperlink>
          </w:p>
        </w:tc>
      </w:tr>
      <w:tr>
        <w:trPr/>
        <w:tc>
          <w:tcPr>
            <w:tcW w:w="7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5" w:type="dxa"/>
            <w:tcBorders/>
            <w:shd w:fill="FFFFFF" w:val="clear"/>
            <w:tcMar>
              <w:top w:w="0" w:type="dxa"/>
              <w:left w:w="0" w:type="dxa"/>
              <w:bottom w:w="0" w:type="dxa"/>
              <w:right w:w="0" w:type="dxa"/>
            </w:tcMar>
            <w:vAlign w:val="center"/>
          </w:tcPr>
          <w:p>
            <w:pPr>
              <w:pStyle w:val="TableContents"/>
              <w:bidi w:val="0"/>
              <w:jc w:val="left"/>
              <w:rPr>
                <w:color w:val="000000"/>
              </w:rPr>
            </w:pPr>
            <w:r>
              <w:rPr>
                <w:color w:val="000000"/>
              </w:rPr>
              <w:t>  </w:t>
            </w:r>
            <w:r>
              <w:rPr>
                <w:rFonts w:ascii="Times New Roman" w:hAnsi="Times New Roman"/>
                <w:color w:val="000000"/>
                <w:sz w:val="20"/>
              </w:rPr>
              <w:t>32.2*+</w:t>
            </w:r>
          </w:p>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ana-ex32_2.htm">
              <w:r>
                <w:rPr>
                  <w:rStyle w:val="InternetLink"/>
                  <w:rFonts w:ascii="Times New Roman" w:hAnsi="Times New Roman"/>
                  <w:color w:val="0000FF"/>
                  <w:sz w:val="20"/>
                  <w:u w:val="single"/>
                </w:rPr>
                <w:t>Certification of Principal Financial Officer Pursuant to 18 U.S.C. Section 1350, as Adopted Pursuant to Section 906 of the Sarbanes-Oxley Act of 2002.</w:t>
              </w:r>
            </w:hyperlink>
          </w:p>
        </w:tc>
      </w:tr>
      <w:tr>
        <w:trPr/>
        <w:tc>
          <w:tcPr>
            <w:tcW w:w="7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XBRL tags are embedded within the Inline XBRL document.</w:t>
            </w:r>
          </w:p>
        </w:tc>
      </w:tr>
      <w:tr>
        <w:trPr/>
        <w:tc>
          <w:tcPr>
            <w:tcW w:w="7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Document</w:t>
            </w:r>
          </w:p>
        </w:tc>
      </w:tr>
      <w:tr>
        <w:trPr/>
        <w:tc>
          <w:tcPr>
            <w:tcW w:w="7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101.CAL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Calculation Linkbase Document</w:t>
            </w:r>
          </w:p>
        </w:tc>
      </w:tr>
      <w:tr>
        <w:trPr/>
        <w:tc>
          <w:tcPr>
            <w:tcW w:w="7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101.DEF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Definition Linkbase Document</w:t>
            </w:r>
          </w:p>
        </w:tc>
      </w:tr>
      <w:tr>
        <w:trPr/>
        <w:tc>
          <w:tcPr>
            <w:tcW w:w="7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101.LAB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Label Linkbase Document</w:t>
            </w:r>
          </w:p>
        </w:tc>
      </w:tr>
      <w:tr>
        <w:trPr/>
        <w:tc>
          <w:tcPr>
            <w:tcW w:w="7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101.PRE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Presentation Linkbase Document</w:t>
            </w:r>
          </w:p>
        </w:tc>
      </w:tr>
      <w:tr>
        <w:trPr/>
        <w:tc>
          <w:tcPr>
            <w:tcW w:w="7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Indicates management contract or compensatory plan.</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Filed herewith.</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This certification is not deemed filed with the Securities and Exchange Commission and is not to be incorporated by reference into any filing of the Company under the Securities Act of 1933, as amended, or the Securities Exchange Act of 1934, as amended, whether made before or after the date of this Quarterly Report, irrespective of any general incorporation language contained in such filing.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2" w:name="signatures"/>
      <w:bookmarkEnd w:id="22"/>
      <w:r>
        <w:rPr>
          <w:rFonts w:ascii="Times New Roman" w:hAnsi="Times New Roman"/>
          <w:b/>
          <w:color w:val="000000"/>
          <w:sz w:val="20"/>
        </w:rPr>
        <w:t>SIGNATURES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5467" w:type="dxa"/>
        <w:jc w:val="left"/>
        <w:tblInd w:w="0" w:type="dxa"/>
        <w:tblLayout w:type="fixed"/>
        <w:tblCellMar>
          <w:top w:w="28" w:type="dxa"/>
          <w:left w:w="28" w:type="dxa"/>
          <w:bottom w:w="28" w:type="dxa"/>
          <w:right w:w="28" w:type="dxa"/>
        </w:tblCellMar>
      </w:tblPr>
      <w:tblGrid>
        <w:gridCol w:w="1741"/>
        <w:gridCol w:w="109"/>
        <w:gridCol w:w="406"/>
        <w:gridCol w:w="3211"/>
      </w:tblGrid>
      <w:tr>
        <w:trPr/>
        <w:tc>
          <w:tcPr>
            <w:tcW w:w="17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7" w:type="dxa"/>
            <w:gridSpan w:val="2"/>
            <w:tcBorders/>
            <w:shd w:fill="FFFFFF" w:val="clear"/>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SANA BIOTECHNOLOGY, INC.</w:t>
            </w:r>
          </w:p>
          <w:p>
            <w:pPr>
              <w:pStyle w:val="TableContents"/>
              <w:bidi w:val="0"/>
              <w:spacing w:before="0" w:after="283"/>
              <w:jc w:val="left"/>
              <w:rPr/>
            </w:pPr>
            <w:r>
              <w:rPr/>
              <w:t> </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11,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2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Steven D. Harr, M.D.</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Steven D. Harr, M.D.</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President and Chief Executive Officer</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Executive Officer)</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tbl>
      <w:tblPr>
        <w:tblW w:w="6397" w:type="dxa"/>
        <w:jc w:val="left"/>
        <w:tblInd w:w="0" w:type="dxa"/>
        <w:tblLayout w:type="fixed"/>
        <w:tblCellMar>
          <w:top w:w="28" w:type="dxa"/>
          <w:left w:w="28" w:type="dxa"/>
          <w:bottom w:w="28" w:type="dxa"/>
          <w:right w:w="28" w:type="dxa"/>
        </w:tblCellMar>
      </w:tblPr>
      <w:tblGrid>
        <w:gridCol w:w="1741"/>
        <w:gridCol w:w="109"/>
        <w:gridCol w:w="406"/>
        <w:gridCol w:w="4141"/>
      </w:tblGrid>
      <w:tr>
        <w:trPr/>
        <w:tc>
          <w:tcPr>
            <w:tcW w:w="17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141" w:type="dxa"/>
            <w:tcBorders/>
            <w:vAlign w:val="center"/>
          </w:tcPr>
          <w:p>
            <w:pPr>
              <w:pStyle w:val="TableContents"/>
              <w:bidi w:val="0"/>
              <w:spacing w:before="0" w:after="283"/>
              <w:jc w:val="left"/>
              <w:rPr>
                <w:sz w:val="4"/>
                <w:szCs w:val="4"/>
              </w:rPr>
            </w:pPr>
            <w:r>
              <w:rPr>
                <w:sz w:val="4"/>
                <w:szCs w:val="4"/>
              </w:rPr>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11,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414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Brian Piper</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Brian Piper</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Executive Vice President, Chief Financial Officer</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Financial Officer)</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116</w:t>
      </w:r>
    </w:p>
    <w:p>
      <w:pPr>
        <w:pStyle w:val="HorizontalLine"/>
        <w:pBdr>
          <w:bottom w:val="double" w:sz="2" w:space="0" w:color="808080"/>
        </w:pBdr>
        <w:bidi w:val="0"/>
        <w:spacing w:before="0" w:after="283"/>
        <w:jc w:val="left"/>
        <w:rPr/>
      </w:pPr>
      <w:r>
        <w:rPr/>
      </w:r>
    </w:p>
    <w:p>
      <w:pPr>
        <w:pStyle w:val="TextBody"/>
        <w:bidi w:val="0"/>
        <w:jc w:val="left"/>
        <w:rPr/>
      </w:pPr>
      <w:bookmarkStart w:id="23" w:name="sana-ex31_1.htm"/>
      <w:bookmarkStart w:id="24" w:name="kssanaex31_1"/>
      <w:bookmarkEnd w:id="23"/>
      <w:bookmarkEnd w:id="24"/>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31.1</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Steven D. Harr, M.D.,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of Sana Biotechnology,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5512" w:type="dxa"/>
        <w:jc w:val="left"/>
        <w:tblInd w:w="0" w:type="dxa"/>
        <w:tblLayout w:type="fixed"/>
        <w:tblCellMar>
          <w:top w:w="28" w:type="dxa"/>
          <w:left w:w="28" w:type="dxa"/>
          <w:bottom w:w="28" w:type="dxa"/>
          <w:right w:w="28" w:type="dxa"/>
        </w:tblCellMar>
      </w:tblPr>
      <w:tblGrid>
        <w:gridCol w:w="1741"/>
        <w:gridCol w:w="109"/>
        <w:gridCol w:w="406"/>
        <w:gridCol w:w="3256"/>
      </w:tblGrid>
      <w:tr>
        <w:trPr/>
        <w:tc>
          <w:tcPr>
            <w:tcW w:w="17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256" w:type="dxa"/>
            <w:tcBorders/>
            <w:vAlign w:val="center"/>
          </w:tcPr>
          <w:p>
            <w:pPr>
              <w:pStyle w:val="TableContents"/>
              <w:bidi w:val="0"/>
              <w:spacing w:before="0" w:after="283"/>
              <w:jc w:val="left"/>
              <w:rPr>
                <w:sz w:val="4"/>
                <w:szCs w:val="4"/>
              </w:rPr>
            </w:pPr>
            <w:r>
              <w:rPr>
                <w:sz w:val="4"/>
                <w:szCs w:val="4"/>
              </w:rPr>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11,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25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Steven D. Harr, M.D.</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Steven D. Harr, M.D.</w:t>
            </w:r>
          </w:p>
          <w:p>
            <w:pPr>
              <w:pStyle w:val="TableContents"/>
              <w:bidi w:val="0"/>
              <w:jc w:val="center"/>
              <w:rPr>
                <w:rFonts w:ascii="Times New Roman" w:hAnsi="Times New Roman"/>
                <w:color w:val="000000"/>
                <w:sz w:val="20"/>
              </w:rPr>
            </w:pPr>
            <w:r>
              <w:rPr>
                <w:rFonts w:ascii="Times New Roman" w:hAnsi="Times New Roman"/>
                <w:color w:val="000000"/>
                <w:sz w:val="20"/>
              </w:rPr>
              <w:t xml:space="preserve">President and Chief Executive Officer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Executive Officer)</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5" w:name="sana-ex31_2.htm"/>
      <w:bookmarkStart w:id="26" w:name="kssanaex31_2"/>
      <w:bookmarkEnd w:id="25"/>
      <w:bookmarkEnd w:id="26"/>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31.2</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Brian Piper,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of Sana Biotechnology,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6442" w:type="dxa"/>
        <w:jc w:val="left"/>
        <w:tblInd w:w="0" w:type="dxa"/>
        <w:tblLayout w:type="fixed"/>
        <w:tblCellMar>
          <w:top w:w="28" w:type="dxa"/>
          <w:left w:w="28" w:type="dxa"/>
          <w:bottom w:w="28" w:type="dxa"/>
          <w:right w:w="28" w:type="dxa"/>
        </w:tblCellMar>
      </w:tblPr>
      <w:tblGrid>
        <w:gridCol w:w="1741"/>
        <w:gridCol w:w="109"/>
        <w:gridCol w:w="406"/>
        <w:gridCol w:w="4186"/>
      </w:tblGrid>
      <w:tr>
        <w:trPr/>
        <w:tc>
          <w:tcPr>
            <w:tcW w:w="17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186" w:type="dxa"/>
            <w:tcBorders/>
            <w:vAlign w:val="center"/>
          </w:tcPr>
          <w:p>
            <w:pPr>
              <w:pStyle w:val="TableContents"/>
              <w:bidi w:val="0"/>
              <w:spacing w:before="0" w:after="283"/>
              <w:jc w:val="left"/>
              <w:rPr>
                <w:sz w:val="4"/>
                <w:szCs w:val="4"/>
              </w:rPr>
            </w:pPr>
            <w:r>
              <w:rPr>
                <w:sz w:val="4"/>
                <w:szCs w:val="4"/>
              </w:rPr>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11,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418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Brian Piper</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Brian Piper</w:t>
            </w:r>
          </w:p>
          <w:p>
            <w:pPr>
              <w:pStyle w:val="TableContents"/>
              <w:bidi w:val="0"/>
              <w:jc w:val="center"/>
              <w:rPr>
                <w:rFonts w:ascii="Times New Roman" w:hAnsi="Times New Roman"/>
                <w:color w:val="000000"/>
                <w:sz w:val="20"/>
              </w:rPr>
            </w:pPr>
            <w:r>
              <w:rPr>
                <w:rFonts w:ascii="Times New Roman" w:hAnsi="Times New Roman"/>
                <w:color w:val="000000"/>
                <w:sz w:val="20"/>
              </w:rPr>
              <w:t xml:space="preserve">Executive Vice President, Chief Financial Officer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Financial Officer)</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7" w:name="sana-ex32_1.htm"/>
      <w:bookmarkStart w:id="28" w:name="kssanaex32_1"/>
      <w:bookmarkEnd w:id="27"/>
      <w:bookmarkEnd w:id="28"/>
      <w:r>
        <w:rPr>
          <w:rFonts w:ascii="Times New Roman" w:hAnsi="Times New Roman"/>
          <w:b/>
          <w:color w:val="000000"/>
          <w:sz w:val="20"/>
        </w:rPr>
        <w:t>Exhibit 32.1</w:t>
      </w:r>
      <w:r>
        <w:br w:type="page"/>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of Sana Biotechnology, Inc. (the “Company”) on Form 10-Q for the period ending March 31, 2026 as filed with the Securities and Exchange Commission on the date hereof (the “Report”), I certify, pursuant to 18 U.S.C. § 1350, as adopted pursuant to § 906 of the Sarbanes-Oxley Act of 2002,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tbl>
      <w:tblPr>
        <w:tblW w:w="5512" w:type="dxa"/>
        <w:jc w:val="left"/>
        <w:tblInd w:w="0" w:type="dxa"/>
        <w:tblLayout w:type="fixed"/>
        <w:tblCellMar>
          <w:top w:w="28" w:type="dxa"/>
          <w:left w:w="28" w:type="dxa"/>
          <w:bottom w:w="28" w:type="dxa"/>
          <w:right w:w="28" w:type="dxa"/>
        </w:tblCellMar>
      </w:tblPr>
      <w:tblGrid>
        <w:gridCol w:w="1741"/>
        <w:gridCol w:w="109"/>
        <w:gridCol w:w="406"/>
        <w:gridCol w:w="3256"/>
      </w:tblGrid>
      <w:tr>
        <w:trPr/>
        <w:tc>
          <w:tcPr>
            <w:tcW w:w="17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256" w:type="dxa"/>
            <w:tcBorders/>
            <w:vAlign w:val="center"/>
          </w:tcPr>
          <w:p>
            <w:pPr>
              <w:pStyle w:val="TableContents"/>
              <w:bidi w:val="0"/>
              <w:spacing w:before="0" w:after="283"/>
              <w:jc w:val="left"/>
              <w:rPr>
                <w:sz w:val="4"/>
                <w:szCs w:val="4"/>
              </w:rPr>
            </w:pPr>
            <w:r>
              <w:rPr>
                <w:sz w:val="4"/>
                <w:szCs w:val="4"/>
              </w:rPr>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11,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25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Steven D. Harr, M.D.</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Steven D. Harr, M.D.</w:t>
            </w:r>
          </w:p>
          <w:p>
            <w:pPr>
              <w:pStyle w:val="TableContents"/>
              <w:bidi w:val="0"/>
              <w:jc w:val="center"/>
              <w:rPr>
                <w:rFonts w:ascii="Times New Roman" w:hAnsi="Times New Roman"/>
                <w:color w:val="000000"/>
                <w:sz w:val="20"/>
              </w:rPr>
            </w:pPr>
            <w:r>
              <w:rPr>
                <w:rFonts w:ascii="Times New Roman" w:hAnsi="Times New Roman"/>
                <w:color w:val="000000"/>
                <w:sz w:val="20"/>
              </w:rPr>
              <w:t xml:space="preserve">President and Chief Executive Officer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Executive Officer)</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9" w:name="sana-ex32_2.htm"/>
      <w:bookmarkStart w:id="30" w:name="kssanaex32_2"/>
      <w:bookmarkEnd w:id="29"/>
      <w:bookmarkEnd w:id="30"/>
      <w:r>
        <w:rPr>
          <w:rFonts w:ascii="Times New Roman" w:hAnsi="Times New Roman"/>
          <w:b/>
          <w:color w:val="000000"/>
          <w:sz w:val="20"/>
        </w:rPr>
        <w:t>Exhibit 32.2</w:t>
      </w:r>
      <w:r>
        <w:br w:type="page"/>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of Sana Biotechnology, Inc. (the “Company”) on Form 10-Q for the period ending March 31, 2026 as filed with the Securities and Exchange Commission on the date hereof (the “Report”), I certify, pursuant to 18 U.S.C. § 1350, as adopted pursuant to § 906 of the Sarbanes-Oxley Act of 2002,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tbl>
      <w:tblPr>
        <w:tblW w:w="6442" w:type="dxa"/>
        <w:jc w:val="left"/>
        <w:tblInd w:w="0" w:type="dxa"/>
        <w:tblLayout w:type="fixed"/>
        <w:tblCellMar>
          <w:top w:w="28" w:type="dxa"/>
          <w:left w:w="28" w:type="dxa"/>
          <w:bottom w:w="28" w:type="dxa"/>
          <w:right w:w="28" w:type="dxa"/>
        </w:tblCellMar>
      </w:tblPr>
      <w:tblGrid>
        <w:gridCol w:w="1741"/>
        <w:gridCol w:w="109"/>
        <w:gridCol w:w="406"/>
        <w:gridCol w:w="4186"/>
      </w:tblGrid>
      <w:tr>
        <w:trPr/>
        <w:tc>
          <w:tcPr>
            <w:tcW w:w="17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186" w:type="dxa"/>
            <w:tcBorders/>
            <w:vAlign w:val="center"/>
          </w:tcPr>
          <w:p>
            <w:pPr>
              <w:pStyle w:val="TableContents"/>
              <w:bidi w:val="0"/>
              <w:spacing w:before="0" w:after="283"/>
              <w:jc w:val="left"/>
              <w:rPr>
                <w:sz w:val="4"/>
                <w:szCs w:val="4"/>
              </w:rPr>
            </w:pPr>
            <w:r>
              <w:rPr>
                <w:sz w:val="4"/>
                <w:szCs w:val="4"/>
              </w:rPr>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11,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418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Brian Piper</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Brian Piper</w:t>
            </w:r>
          </w:p>
          <w:p>
            <w:pPr>
              <w:pStyle w:val="TableContents"/>
              <w:bidi w:val="0"/>
              <w:jc w:val="center"/>
              <w:rPr>
                <w:rFonts w:ascii="Times New Roman" w:hAnsi="Times New Roman"/>
                <w:color w:val="000000"/>
                <w:sz w:val="20"/>
              </w:rPr>
            </w:pPr>
            <w:r>
              <w:rPr>
                <w:rFonts w:ascii="Times New Roman" w:hAnsi="Times New Roman"/>
                <w:color w:val="000000"/>
                <w:sz w:val="20"/>
              </w:rPr>
              <w:t xml:space="preserve">Executive Vice President, Chief Financial Officer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Financial Officer)</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0001770121/000119312521032935/d112159dex31.htm" TargetMode="External"/><Relationship Id="rId3" Type="http://schemas.openxmlformats.org/officeDocument/2006/relationships/hyperlink" Target="https://www.sec.gov/Archives/edgar/data/0001770121/000119312521032935/d112159dex32.htm" TargetMode="External"/><Relationship Id="rId4" Type="http://schemas.openxmlformats.org/officeDocument/2006/relationships/hyperlink" Target="https://www.sec.gov/Archives/edgar/data/0001770121/000119312521032935/d112159dex31.htm" TargetMode="External"/><Relationship Id="rId5" Type="http://schemas.openxmlformats.org/officeDocument/2006/relationships/hyperlink" Target="https://www.sec.gov/Archives/edgar/data/0001770121/000119312521032935/d112159dex32.htm" TargetMode="External"/><Relationship Id="rId6" Type="http://schemas.openxmlformats.org/officeDocument/2006/relationships/hyperlink" Target="https://www.sec.gov/Archives/edgar/data/0001770121/000119312521019984/d60414dex42.htm" TargetMode="External"/><Relationship Id="rId7" Type="http://schemas.openxmlformats.org/officeDocument/2006/relationships/hyperlink" Target="https://www.sec.gov/Archives/edgar/data/1770121/000119312524028506/d745670dex41.htm" TargetMode="External"/><Relationship Id="rId8" Type="http://schemas.openxmlformats.org/officeDocument/2006/relationships/hyperlink" Target="https://www.sec.gov/Archives/edgar/data/1770121/000119312525175571/d83666dex41.htm" TargetMode="External"/><Relationship Id="rId9" Type="http://schemas.openxmlformats.org/officeDocument/2006/relationships/hyperlink" Target="https://www.sec.gov/Archives/edgar/data/1770121/000119312526053294/sana-ex10_1.htm" TargetMode="External"/><Relationship Id="rId10" Type="http://schemas.openxmlformats.org/officeDocument/2006/relationships/hyperlink" Target="https://www.sec.gov/Archives/edgar/data/0001770121/000119312526088215/sana-ex10_9.htm" TargetMode="External"/><Relationship Id="rId11" Type="http://schemas.openxmlformats.org/officeDocument/2006/relationships/hyperlink" Target="https://www.sec.gov/Archives/edgar/data/1770121/000119312526088203/sana-ex1_1.htm" TargetMode="External"/><Relationship Id="rId12" Type="http://schemas.openxmlformats.org/officeDocument/2006/relationships/hyperlink" Target="https://www.sec.gov/Archives/edgar/data/0001770121/000119312526152868/sana-ex10_1.htm" TargetMode="External"/><Relationship Id="rId13" Type="http://schemas.openxmlformats.org/officeDocument/2006/relationships/fontTable" Target="fontTable.xml"/><Relationship Id="rId1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85395</Words>
  <Characters>479173</Characters>
  <CharactersWithSpaces>564773</CharactersWithSpaces>
  <Paragraphs>5358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