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SANA BIOTECHNOLOGY,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001-39941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83-1381173</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4" w:space="720"/>
            <w:col w:w="2620" w:space="720"/>
            <w:col w:w="248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188 East Blaine Street, Suite 400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Seattle, Washington 98102</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(206) 701-7914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250190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SANA</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 2022, Sana Biotechnology,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Lease Agreement (the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with ARE-Seattle No. 39, LLC (the</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pursuant to which the Company will lease 79,565 square feet of laboratory and office and industrial space located at 3555 Monte Villa Parkway, Bothell, Washington (the “</w:t>
      </w:r>
      <w:r>
        <w:rPr>
          <w:rFonts w:ascii="Times New Roman" w:cs="Times New Roman" w:eastAsia="Times New Roman" w:hAnsi="Times New Roman"/>
          <w:sz w:val="18"/>
          <w:szCs w:val="18"/>
          <w:u w:val="single" w:color="auto"/>
          <w:color w:val="auto"/>
        </w:rPr>
        <w:t>Premises</w:t>
      </w:r>
      <w:r>
        <w:rPr>
          <w:rFonts w:ascii="Times New Roman" w:cs="Times New Roman" w:eastAsia="Times New Roman" w:hAnsi="Times New Roman"/>
          <w:sz w:val="18"/>
          <w:szCs w:val="18"/>
          <w:color w:val="auto"/>
        </w:rPr>
        <w:t>”). The Company expects to construct a good manufacturing practices manufacturing facility (the “</w:t>
      </w:r>
      <w:r>
        <w:rPr>
          <w:rFonts w:ascii="Times New Roman" w:cs="Times New Roman" w:eastAsia="Times New Roman" w:hAnsi="Times New Roman"/>
          <w:sz w:val="18"/>
          <w:szCs w:val="18"/>
          <w:u w:val="single" w:color="auto"/>
          <w:color w:val="auto"/>
        </w:rPr>
        <w:t>Bothell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on the Premises. The Premises are located in an industrial project at “Alexandria Center for Advanced Technologies – Monte Villa” (the “</w:t>
      </w:r>
      <w:r>
        <w:rPr>
          <w:rFonts w:ascii="Times New Roman" w:cs="Times New Roman" w:eastAsia="Times New Roman" w:hAnsi="Times New Roman"/>
          <w:sz w:val="18"/>
          <w:szCs w:val="18"/>
          <w:u w:val="single" w:color="auto"/>
          <w:color w:val="auto"/>
        </w:rPr>
        <w:t>Project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term of the Lease begins on the date that the Landlord delivers the Premises to the Company for construction of certain tenant improvements (the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and will end on the first day of the month following the 16-year anniversary of the Commencement Date (the “</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subject to the Company’s option to extend the Lease for up to three additional five-year terms (each, an “</w:t>
      </w: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and collectively with the Initial Term, as applicable,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obligation to pay base rent under the Lease will commence 12 months following the Commencement Date (the “</w:t>
      </w:r>
      <w:r>
        <w:rPr>
          <w:rFonts w:ascii="Times New Roman" w:cs="Times New Roman" w:eastAsia="Times New Roman" w:hAnsi="Times New Roman"/>
          <w:sz w:val="18"/>
          <w:szCs w:val="18"/>
          <w:u w:val="single" w:color="auto"/>
          <w:color w:val="auto"/>
        </w:rPr>
        <w:t>Rent Commencement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Following the Rent Commencement Date, during the Initial Term, the Company will be obligated to pay the Landlord base rent in the amount of approximately $0.3 million per month for the first year, which monthly base rent obligation will increase by approximately 3.0% annually over the remaining portion of the Initial Term. In addition to its base rent obligation, beginning on the earlier of the Rent Commencement Date or the date that the Company commences operating its business in all or any portion of the Premises, the Company is obligated to pay the Landlord operating expenses and utilities applicable to the Premises, the Company’s proportionate share of certain taxes, assessments and fees that accrue against the Project, and the Company’s proportionate share of the cost of insurance maintained by the Landlord with respect to the Project for each year of the Lease Term.</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the Company exercises its option to extend the term of the Lease for an additional Option Term following the Initial Term, the Company would be obligated to pay the Landlord during the applicable Option Term base rent in an initial amount equal to 100% of the market rate of the Premises (as determined in accordance with the Lease) as of the commencement date of such Option Term; provided, that the monthly base rent obligation during each Option Term will increase annually over such Option Term by a percentage determined by the Landlord and agreed to by the Company at the time the market rate of the Premises is determined.</w:t>
      </w:r>
    </w:p>
    <w:p>
      <w:pPr>
        <w:spacing w:after="0" w:line="18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is entitled to a one-time tenant improvement allowance of up to approximately $19.9 million from the Landlord for costs relating to the design and construction of interior improvements to the Premises, which amount is included in the base rent, subject to the terms and conditions of a work letter attached to the Lease. In addition, the Company is entitled to up to approximately $8.0 million as an additional tenant improvement allowance under the work letter (the “</w:t>
      </w:r>
      <w:r>
        <w:rPr>
          <w:rFonts w:ascii="Times New Roman" w:cs="Times New Roman" w:eastAsia="Times New Roman" w:hAnsi="Times New Roman"/>
          <w:sz w:val="18"/>
          <w:szCs w:val="18"/>
          <w:u w:val="single" w:color="auto"/>
          <w:color w:val="auto"/>
        </w:rPr>
        <w:t>TI Rent</w:t>
      </w:r>
      <w:r>
        <w:rPr>
          <w:rFonts w:ascii="Times New Roman" w:cs="Times New Roman" w:eastAsia="Times New Roman" w:hAnsi="Times New Roman"/>
          <w:sz w:val="18"/>
          <w:szCs w:val="18"/>
          <w:color w:val="auto"/>
        </w:rPr>
        <w:t>”). Commencing on the Rent Commencement Date, the Company would be obligated to pay to the Landlord in equal monthly installments the amounts necessary to fully amortize the TI Rent over the Initial Term, with interest at a rate of 6.5% per annum. Any TI Rent that remains unpaid as of the expiration or earlier termination of the Lease would be payable to the Landlord at such expiration or earlier termination.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Lease, the Company will deliver to the Landlord an irrevocable letter of credit as security under the Lease.</w:t>
      </w:r>
    </w:p>
    <w:p>
      <w:pPr>
        <w:spacing w:after="0" w:line="225"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The Lease contains customary provisions allowing the Landlord to terminate the Lease if the Company fails to remedy a breach of any of its obligations within specified time periods. In addition, in the event of certain damages to the Premises, the Company and the Landlord retain certain rights to terminate all or a portion of the Lease based on the extent of the damages and the estimated amount of time it would take to restore the Premises.</w:t>
      </w:r>
    </w:p>
    <w:p>
      <w:pPr>
        <w:spacing w:after="0" w:line="15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Lease is qualified in its entirety by reference to the full text of the Lease, a copy of which the Company plans to file as an exhibit to its Quarterly Report on Form 10-Q for its fiscal quarter ended June 30, 2022.</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by reference into this Item 2.03.</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June 1, 2022, the Company issued a press release announcing, among other things, its entry into the Lease and its plan to replace the site of its planned manufacturing facility from its current leased space located in Fremont, California to the Bothell Facility.</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copy of the press release is filed herewith as Exhibit 99.1 and the information contained therein is incorporated by reference into this Current Report on Form 8-K.</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93" w:right="479" w:bottom="1440" w:gutter="0" w:footer="0" w:header="0"/>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48"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4"/>
          <w:szCs w:val="14"/>
          <w:b w:val="1"/>
          <w:bCs w:val="1"/>
          <w:color w:val="auto"/>
        </w:rPr>
        <w:t>Exhibit</w:t>
      </w:r>
    </w:p>
    <w:p>
      <w:pPr>
        <w:ind w:left="4"/>
        <w:spacing w:after="0" w:line="185" w:lineRule="auto"/>
        <w:tabs>
          <w:tab w:leader="none" w:pos="1024" w:val="left"/>
        </w:tabs>
        <w:rPr>
          <w:sz w:val="20"/>
          <w:szCs w:val="20"/>
          <w:color w:val="auto"/>
        </w:rPr>
      </w:pPr>
      <w:r>
        <w:rPr>
          <w:rFonts w:ascii="Times New Roman" w:cs="Times New Roman" w:eastAsia="Times New Roman" w:hAnsi="Times New Roman"/>
          <w:sz w:val="22"/>
          <w:szCs w:val="22"/>
          <w:b w:val="1"/>
          <w:bCs w:val="1"/>
          <w:u w:val="single" w:color="auto"/>
          <w:color w:val="auto"/>
          <w:vertAlign w:val="superscript"/>
        </w:rPr>
        <w:t>Number</w:t>
      </w:r>
      <w:r>
        <w:rPr>
          <w:sz w:val="20"/>
          <w:szCs w:val="20"/>
          <w:color w:val="auto"/>
        </w:rPr>
        <w:tab/>
      </w:r>
      <w:r>
        <w:rPr>
          <w:rFonts w:ascii="Times New Roman" w:cs="Times New Roman" w:eastAsia="Times New Roman" w:hAnsi="Times New Roman"/>
          <w:sz w:val="12"/>
          <w:szCs w:val="12"/>
          <w:b w:val="1"/>
          <w:bCs w:val="1"/>
          <w:u w:val="single" w:color="auto"/>
          <w:color w:val="auto"/>
        </w:rPr>
        <w:t>Description</w:t>
      </w:r>
    </w:p>
    <w:p>
      <w:pPr>
        <w:spacing w:after="0" w:line="116" w:lineRule="exact"/>
        <w:rPr>
          <w:sz w:val="20"/>
          <w:szCs w:val="20"/>
          <w:color w:val="auto"/>
        </w:rPr>
      </w:pPr>
    </w:p>
    <w:p>
      <w:pPr>
        <w:ind w:left="4"/>
        <w:spacing w:after="0"/>
        <w:tabs>
          <w:tab w:leader="none" w:pos="102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1, 2022</w:t>
      </w:r>
    </w:p>
    <w:p>
      <w:pPr>
        <w:spacing w:after="0" w:line="97" w:lineRule="exact"/>
        <w:rPr>
          <w:sz w:val="20"/>
          <w:szCs w:val="20"/>
          <w:color w:val="auto"/>
        </w:rPr>
      </w:pPr>
    </w:p>
    <w:p>
      <w:pPr>
        <w:ind w:left="5464" w:right="3199" w:hanging="5464"/>
        <w:spacing w:after="0" w:line="454" w:lineRule="auto"/>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ectPr>
          <w:pgSz w:w="11900" w:h="16838" w:orient="portrait"/>
          <w:cols w:equalWidth="0" w:num="1">
            <w:col w:w="10023"/>
          </w:cols>
          <w:pgMar w:left="436" w:top="293" w:right="1440"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SANA BIOTECHNOLOGY,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J.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James J. MacDonald</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and General Counsel</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60"/>
          </w:cols>
          <w:pgMar w:left="440" w:top="293" w:right="1199" w:bottom="1440" w:gutter="0" w:footer="0" w:header="0"/>
        </w:sectPr>
      </w:pPr>
    </w:p>
    <w:bookmarkStart w:id="4" w:name="page5"/>
    <w:bookmarkEnd w:id="4"/>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Sana Biotechnology Announces Plan to Relocate Manufacturing to Bothell, Washington Along with Key Executive Hires in Manufacturing and Regulatory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Replacement of Fremont, CA Facility Estimated to Save Over $100M in the Next Three Years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Global Cell Therapy Manufacturing Expert Snehal Patel Appointed Head of Manufacturing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Veteran Regulatory Affairs Leader Julie Lepin Appointed Head of Regulatory, Safety, and Quality</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SEATTLE — June 1, 2022 — Sana Biotechnology, Inc. (NASDAQ: SANA), a company focused on creating and delivering engineered cells as medicines, today announced that the company has entered into a lease agreement to develop an approximately 80,000 square foot manufacturing facility in Bothell, Washington. Sana expects this move will result in over $100M in cost savings in the next three years.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Bothell facility will replace the Fremont, California facility and is designed to support the manufacturing of Sana’s multiple product candidates across the company’s cell and gene therapy portfolio as they enter late-stage clinical development and early commercial supply. Bothell remains close to Sana’s existing technical and scientific capabilities and provides access to a strong biotech talent base. As previously guided, Sana will continue to work with contract manufacturing partners to expand its footprint and production capacity.</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addition to the new manufacturing plant, the company announced it has strengthened the leadership team with the appointments of Snehal Patel to lead Sana’s internal and external manufacturing and Julie Lepin to lead regulatory affairs.</w:t>
      </w:r>
    </w:p>
    <w:p>
      <w:pPr>
        <w:spacing w:after="0" w:line="16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“We have long viewed an internal manufacturing capability as core to our long-term success in consistently making these complex medicines at the scale and cost needed to maximize our impact,” said Steve Harr, Sana’s President and Chief Executive Officer. “This new facility enables us to continue to develop our internal manufacturing with no anticipated impact to the timing of our programs, and in a more cost-effective manner. Importantly, we continue to attract the strong talent needed to execute on this vision and our pipeline more broadly. I am excited to welcome Snehal and Julie to Sana.”</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Snehal Patel, Senior Vice President and Head of Manufacturing</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Prior to Sana, Snehal was the Global Head and Vice President for Cell Therapy Manufacturing at Bristol Myers Squibb (BMS). He led the growing global manufacturing network to produce Clinical and Commercial Cell Therapy Products, including two cell therapies recently commercially launched in 2021 by BMS. Prior to this role he served as Site Head for Cell Therapy Manufacturing in Bothell, Washington. Prior to BMS, Snehal worked at Genentech/Roche for 18 years, holding a variety of different roles with increasing responsibility, including Head of Global External Drug Product Manufacturing, Head of Drug Product Operations, and Head of Quality Operations.</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Julie Lepin, Senior Vice President and Head of Regulatory, Safety, and Quality</w:t>
      </w:r>
    </w:p>
    <w:p>
      <w:pPr>
        <w:spacing w:after="0" w:line="12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Julie joined Sana from Amgen where she was Vice President, Regulatory Affairs for Oncology, leading the regulatory strategies for a diverse and extensive portfolio of clinical stage and marketed products. The most recent approval in her portfolio was Lumakras, the first KRASG12C targeting agent. Prior to Amgen, Julie was Head of Regulatory at Juno Therapeutics, Head of Regulatory, Oncology at Merck, and Head of Regulatory, Intercontinental at Amgen. Her leadership and regulatory insights were instrumental in numerous product approvals including Neulasta, Kepivance, Vectibix, Prolia, Keytruda, and more.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Sana Biotechnology</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Sana Biotechnology, Inc. is focused on creating and delivering engineered cells as medicines for patients. We share a vision of repairing and controlling genes, replacing missing or damaged cells, and making our therapies broadly available to patients. We are a passionate group of people working together to create an enduring company that changes how the world treats disease. Sana has operations in Seattle, Cambridge, South San Francisco, and Rochester.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about Sana Biotechnology, Inc. (the “Company,” “we,” “us,” or “our”) within the meaning of the federal securities laws, including those related to the company’s vision, progress, and business plans; the ability of the manufacturing facility to support the manufacturing of Sana’s product candidates into late-stage clinical development and early commercial supply; the potential cost savings of the manufacturing facility in Bothell; and the potential impact of the move to the new facility to the timing of Sana’s programs. All statements other than statements of historical facts contained in this press release, including, among others, statements regarding the Company’s strategy, expectations, cash runway and future financial condition, future operations, and prospects, are forward-looking statements. 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The Company has based these forward-looking statements largely on its current expectations, estimates, forecasts and projections about future events and financial trends that it believes may affect its financial condition, results of operations, business strategy and financial needs. In light of the significant uncertainties in these forward-looking statements, you should not rely upon forward-looking statements as predictions of future events. These statements are subject to risks and uncertainties that could cause the actual results to vary materially, including, among others, the risks inherent in drug development such as those associated with the initiation, cost, timing, progress and results of the Company’s current and future research and development programs, preclinical and clinical trials, as well as the economic, market and social disruptions due to the</w:t>
      </w:r>
    </w:p>
    <w:p>
      <w:pPr>
        <w:sectPr>
          <w:pgSz w:w="11900" w:h="16838" w:orient="portrait"/>
          <w:cols w:equalWidth="0" w:num="1">
            <w:col w:w="11000"/>
          </w:cols>
          <w:pgMar w:left="440" w:top="266" w:right="45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ongoing COVID-19 public health crisis. For a detailed discussion of the risk factors that could affect the Company’s actual results, please refer to the risk factors identified in the Company’s SEC reports, including but not limited to its Quarterly Report on Form 10-Q dated May 10, 2022. Except as required by law, the Company undertakes no obligation to update publicly any forward-looking statements for any reason.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&amp;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Nicole Keith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investor.relations@sana.com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media@sana.com</w:t>
      </w:r>
    </w:p>
    <w:sectPr>
      <w:pgSz w:w="11900" w:h="16838" w:orient="portrait"/>
      <w:cols w:equalWidth="0" w:num="1">
        <w:col w:w="10740"/>
      </w:cols>
      <w:pgMar w:left="440" w:top="27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2022-06-01T15:17:18Z</dcterms:created>
  <dcterms:modified xsi:type="dcterms:W3CDTF">2022-06-01T15:17:18Z</dcterms:modified>
</cp:coreProperties>
</file>