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-229870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5267960</wp:posOffset>
            </wp:positionH>
            <wp:positionV relativeFrom="paragraph">
              <wp:posOffset>-591820</wp:posOffset>
            </wp:positionV>
            <wp:extent cx="8255" cy="592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-599440</wp:posOffset>
            </wp:positionV>
            <wp:extent cx="8255" cy="6000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-575945</wp:posOffset>
            </wp:positionV>
            <wp:extent cx="1272540" cy="552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25400</wp:posOffset>
            </wp:positionV>
            <wp:extent cx="6971030" cy="1704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Bishop Hans Edgar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Sana Biotechnology,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SANA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SANA BIOTECHNOLOGY, INC.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02/03/2021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188 EAST BLAINE STREET, SUITE 400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02/05/2021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SEATTLE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WA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98102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23,591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02/02/2031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23,591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23,591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-2449195</wp:posOffset>
            </wp:positionV>
            <wp:extent cx="7035165" cy="2585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58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correct a calculation error in regards to the number of option shares acquired.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shall vest and become exercisable in full on February 3, 2022.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James J. MacDonald,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-6350</wp:posOffset>
            </wp:positionV>
            <wp:extent cx="1014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 Hans Edgar 02/18/2021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1874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Bishop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94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0212" TargetMode="External"/><Relationship Id="rId14" Type="http://schemas.openxmlformats.org/officeDocument/2006/relationships/hyperlink" Target="http://www.sec.gov/cgi-bin/browse-edgar?action=getcompany&amp;CIK=00017701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2021-02-18T18:03:35Z</dcterms:created>
  <dcterms:modified xsi:type="dcterms:W3CDTF">2021-02-18T18:03:35Z</dcterms:modified>
</cp:coreProperties>
</file>