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w:t>
      </w:r>
    </w:p>
    <w:p>
      <w:pPr>
        <w:jc w:val="center"/>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October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154940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SANA BIOTECHNOLOGY,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151130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p>
      <w:pPr>
        <w:spacing w:after="0" w:line="200" w:lineRule="exact"/>
        <w:rPr>
          <w:sz w:val="24"/>
          <w:szCs w:val="24"/>
          <w:color w:val="auto"/>
        </w:rPr>
      </w:pPr>
    </w:p>
    <w:p>
      <w:pPr>
        <w:spacing w:after="0" w:line="205" w:lineRule="exact"/>
        <w:rPr>
          <w:sz w:val="24"/>
          <w:szCs w:val="24"/>
          <w:color w:val="auto"/>
        </w:rPr>
      </w:pPr>
    </w:p>
    <w:p>
      <w:pPr>
        <w:ind w:left="170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1260"/>
        <w:spacing w:after="0"/>
        <w:rPr>
          <w:sz w:val="20"/>
          <w:szCs w:val="20"/>
          <w:color w:val="auto"/>
        </w:rPr>
      </w:pPr>
      <w:r>
        <w:rPr>
          <w:rFonts w:ascii="Arial" w:cs="Arial" w:eastAsia="Arial" w:hAnsi="Arial"/>
          <w:sz w:val="11"/>
          <w:szCs w:val="11"/>
          <w:b w:val="1"/>
          <w:bCs w:val="1"/>
          <w:color w:val="auto"/>
        </w:rPr>
        <w:t>001-39941</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83-1381173</w:t>
      </w:r>
    </w:p>
    <w:p>
      <w:pPr>
        <w:spacing w:after="0" w:line="23" w:lineRule="exact"/>
        <w:rPr>
          <w:sz w:val="24"/>
          <w:szCs w:val="24"/>
          <w:color w:val="auto"/>
        </w:rPr>
      </w:pPr>
    </w:p>
    <w:p>
      <w:pPr>
        <w:sectPr>
          <w:pgSz w:w="11900" w:h="16838" w:orient="portrait"/>
          <w:cols w:equalWidth="0" w:num="3">
            <w:col w:w="3600" w:space="720"/>
            <w:col w:w="1800" w:space="720"/>
            <w:col w:w="2179"/>
          </w:cols>
          <w:pgMar w:left="1440" w:top="356" w:right="1440" w:bottom="1440" w:gutter="0" w:footer="0" w:header="0"/>
          <w:type w:val="continuous"/>
        </w:sectPr>
      </w:pPr>
    </w:p>
    <w:p>
      <w:pPr>
        <w:spacing w:after="0" w:line="11" w:lineRule="exact"/>
        <w:rPr>
          <w:sz w:val="24"/>
          <w:szCs w:val="24"/>
          <w:color w:val="auto"/>
        </w:rPr>
      </w:pPr>
    </w:p>
    <w:p>
      <w:pPr>
        <w:jc w:val="center"/>
        <w:ind w:left="320"/>
        <w:spacing w:after="0"/>
        <w:rPr>
          <w:sz w:val="20"/>
          <w:szCs w:val="20"/>
          <w:color w:val="auto"/>
        </w:rPr>
      </w:pPr>
      <w:r>
        <w:rPr>
          <w:rFonts w:ascii="Arial" w:cs="Arial" w:eastAsia="Arial" w:hAnsi="Arial"/>
          <w:sz w:val="9"/>
          <w:szCs w:val="9"/>
          <w:b w:val="1"/>
          <w:bCs w:val="1"/>
          <w:color w:val="auto"/>
        </w:rPr>
        <w:t>(State or other jurisdiction</w:t>
      </w:r>
    </w:p>
    <w:p>
      <w:pPr>
        <w:jc w:val="center"/>
        <w:ind w:left="32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(Commission</w:t>
      </w:r>
    </w:p>
    <w:p>
      <w:pPr>
        <w:spacing w:after="0"/>
        <w:rPr>
          <w:sz w:val="20"/>
          <w:szCs w:val="20"/>
          <w:color w:val="auto"/>
        </w:rPr>
      </w:pPr>
      <w:r>
        <w:rPr>
          <w:rFonts w:ascii="Arial" w:cs="Arial" w:eastAsia="Arial" w:hAnsi="Arial"/>
          <w:sz w:val="9"/>
          <w:szCs w:val="9"/>
          <w:b w:val="1"/>
          <w:bCs w:val="1"/>
          <w:color w:val="auto"/>
        </w:rPr>
        <w:t>File Number)</w:t>
      </w:r>
    </w:p>
    <w:p>
      <w:pPr>
        <w:spacing w:after="0" w:line="20" w:lineRule="exact"/>
        <w:rPr>
          <w:sz w:val="24"/>
          <w:szCs w:val="24"/>
          <w:color w:val="auto"/>
        </w:rPr>
      </w:pPr>
      <w:r>
        <w:rPr>
          <w:sz w:val="24"/>
          <w:szCs w:val="24"/>
          <w:color w:val="auto"/>
        </w:rPr>
        <w:br w:type="column"/>
      </w:r>
    </w:p>
    <w:p>
      <w:pPr>
        <w:jc w:val="center"/>
        <w:ind w:right="1379"/>
        <w:spacing w:after="0"/>
        <w:rPr>
          <w:sz w:val="20"/>
          <w:szCs w:val="20"/>
          <w:color w:val="auto"/>
        </w:rPr>
      </w:pPr>
      <w:r>
        <w:rPr>
          <w:rFonts w:ascii="Arial" w:cs="Arial" w:eastAsia="Arial" w:hAnsi="Arial"/>
          <w:sz w:val="10"/>
          <w:szCs w:val="10"/>
          <w:b w:val="1"/>
          <w:bCs w:val="1"/>
          <w:color w:val="auto"/>
        </w:rPr>
        <w:t>(IRS Employer</w:t>
      </w:r>
    </w:p>
    <w:p>
      <w:pPr>
        <w:jc w:val="center"/>
        <w:ind w:right="1379"/>
        <w:spacing w:after="0"/>
        <w:rPr>
          <w:sz w:val="20"/>
          <w:szCs w:val="20"/>
          <w:color w:val="auto"/>
        </w:rPr>
      </w:pPr>
      <w:r>
        <w:rPr>
          <w:rFonts w:ascii="Arial" w:cs="Arial" w:eastAsia="Arial" w:hAnsi="Arial"/>
          <w:sz w:val="9"/>
          <w:szCs w:val="9"/>
          <w:b w:val="1"/>
          <w:bCs w:val="1"/>
          <w:color w:val="auto"/>
        </w:rPr>
        <w:t>Identification Number)</w:t>
      </w:r>
    </w:p>
    <w:p>
      <w:pPr>
        <w:spacing w:after="0" w:line="134" w:lineRule="exact"/>
        <w:rPr>
          <w:sz w:val="24"/>
          <w:szCs w:val="24"/>
          <w:color w:val="auto"/>
        </w:rPr>
      </w:pPr>
    </w:p>
    <w:p>
      <w:pPr>
        <w:sectPr>
          <w:pgSz w:w="11900" w:h="16838" w:orient="portrait"/>
          <w:cols w:equalWidth="0" w:num="3">
            <w:col w:w="3580" w:space="720"/>
            <w:col w:w="1620" w:space="720"/>
            <w:col w:w="2379"/>
          </w:cols>
          <w:pgMar w:left="1440" w:top="356"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188 East Blaine Street, Suite 400</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Seattle, Washington 98102</w:t>
      </w:r>
    </w:p>
    <w:p>
      <w:pPr>
        <w:jc w:val="center"/>
        <w:ind w:right="19"/>
        <w:spacing w:after="0"/>
        <w:rPr>
          <w:sz w:val="20"/>
          <w:szCs w:val="20"/>
          <w:color w:val="auto"/>
        </w:rPr>
      </w:pPr>
      <w:r>
        <w:rPr>
          <w:rFonts w:ascii="Arial" w:cs="Arial" w:eastAsia="Arial" w:hAnsi="Arial"/>
          <w:sz w:val="9"/>
          <w:szCs w:val="9"/>
          <w:b w:val="1"/>
          <w:bCs w:val="1"/>
          <w:color w:val="auto"/>
        </w:rPr>
        <w:t>(Address of principal executive offices, including Zip Code)</w:t>
      </w:r>
    </w:p>
    <w:p>
      <w:pPr>
        <w:sectPr>
          <w:pgSz w:w="11900" w:h="16838" w:orient="portrait"/>
          <w:cols w:equalWidth="0" w:num="1">
            <w:col w:w="9019"/>
          </w:cols>
          <w:pgMar w:left="1440" w:top="356" w:right="1440" w:bottom="1440" w:gutter="0" w:footer="0" w:header="0"/>
          <w:type w:val="continuous"/>
        </w:sectPr>
      </w:pP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 (206) 701-7914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153670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6" w:lineRule="exact"/>
        <w:rPr>
          <w:sz w:val="24"/>
          <w:szCs w:val="24"/>
          <w:color w:val="auto"/>
        </w:rPr>
      </w:pPr>
    </w:p>
    <w:p>
      <w:pPr>
        <w:ind w:left="640" w:right="979"/>
        <w:spacing w:after="0" w:line="261"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25" w:lineRule="exact"/>
        <w:rPr>
          <w:sz w:val="24"/>
          <w:szCs w:val="24"/>
          <w:color w:val="auto"/>
        </w:rPr>
      </w:pPr>
    </w:p>
    <w:p>
      <w:pPr>
        <w:ind w:left="64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37"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2"/>
              </w:rPr>
              <w:t>Trading</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7"/>
              </w:rPr>
              <w:t>Name of each exchange</w:t>
            </w:r>
          </w:p>
        </w:tc>
      </w:tr>
      <w:tr>
        <w:trPr>
          <w:trHeight w:val="128"/>
        </w:trPr>
        <w:tc>
          <w:tcPr>
            <w:tcW w:w="2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Symbol(s)</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8"/>
              </w:rPr>
              <w:t>on which registered</w:t>
            </w:r>
          </w:p>
        </w:tc>
      </w:tr>
      <w:tr>
        <w:trPr>
          <w:trHeight w:val="150"/>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7"/>
              </w:rPr>
              <w:t>Common Stock, $0.0001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5"/>
              </w:rPr>
              <w:t>SANA</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9"/>
              </w:rPr>
              <w:t>The Nasdaq Stock Market LLC</w:t>
            </w:r>
          </w:p>
        </w:tc>
      </w:tr>
    </w:tbl>
    <w:p>
      <w:pPr>
        <w:spacing w:after="0" w:line="105" w:lineRule="exact"/>
        <w:rPr>
          <w:sz w:val="24"/>
          <w:szCs w:val="24"/>
          <w:color w:val="auto"/>
        </w:rPr>
      </w:pPr>
    </w:p>
    <w:p>
      <w:pPr>
        <w:ind w:left="640" w:right="859"/>
        <w:spacing w:after="0" w:line="261"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8" w:lineRule="exact"/>
        <w:rPr>
          <w:sz w:val="24"/>
          <w:szCs w:val="24"/>
          <w:color w:val="auto"/>
        </w:rPr>
      </w:pPr>
    </w:p>
    <w:p>
      <w:pPr>
        <w:ind w:left="6820"/>
        <w:spacing w:after="0" w:line="127" w:lineRule="exact"/>
        <w:rPr>
          <w:sz w:val="20"/>
          <w:szCs w:val="20"/>
          <w:color w:val="auto"/>
        </w:rPr>
      </w:pPr>
      <w:r>
        <w:rPr>
          <w:rFonts w:ascii="Arial" w:cs="Arial" w:eastAsia="Arial" w:hAnsi="Arial"/>
          <w:sz w:val="11"/>
          <w:szCs w:val="11"/>
          <w:color w:val="auto"/>
        </w:rPr>
        <w:t>Emerging growth company </w:t>
      </w:r>
      <w:r>
        <w:rPr>
          <w:rFonts w:ascii="MS PGothic" w:cs="MS PGothic" w:eastAsia="MS PGothic" w:hAnsi="MS PGothic"/>
          <w:sz w:val="11"/>
          <w:szCs w:val="11"/>
          <w:color w:val="auto"/>
        </w:rPr>
        <w:t>☒</w:t>
      </w:r>
    </w:p>
    <w:p>
      <w:pPr>
        <w:spacing w:after="0" w:line="181" w:lineRule="exact"/>
        <w:rPr>
          <w:sz w:val="24"/>
          <w:szCs w:val="24"/>
          <w:color w:val="auto"/>
        </w:rPr>
      </w:pPr>
    </w:p>
    <w:p>
      <w:pPr>
        <w:ind w:left="640" w:right="859"/>
        <w:spacing w:after="0" w:line="166" w:lineRule="exact"/>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2.05</w:t>
      </w:r>
      <w:r>
        <w:rPr>
          <w:sz w:val="20"/>
          <w:szCs w:val="20"/>
          <w:color w:val="auto"/>
        </w:rPr>
        <w:tab/>
      </w:r>
      <w:r>
        <w:rPr>
          <w:rFonts w:ascii="Arial" w:cs="Arial" w:eastAsia="Arial" w:hAnsi="Arial"/>
          <w:sz w:val="13"/>
          <w:szCs w:val="13"/>
          <w:b w:val="1"/>
          <w:bCs w:val="1"/>
          <w:color w:val="auto"/>
        </w:rPr>
        <w:t>Costs Associated with Exit or Disposal Activities</w:t>
      </w:r>
    </w:p>
    <w:p>
      <w:pPr>
        <w:spacing w:after="0" w:line="82" w:lineRule="exact"/>
        <w:rPr>
          <w:sz w:val="20"/>
          <w:szCs w:val="20"/>
          <w:color w:val="auto"/>
        </w:rPr>
      </w:pPr>
    </w:p>
    <w:p>
      <w:pPr>
        <w:ind w:left="640" w:right="759"/>
        <w:spacing w:after="0" w:line="247" w:lineRule="auto"/>
        <w:rPr>
          <w:sz w:val="20"/>
          <w:szCs w:val="20"/>
          <w:color w:val="auto"/>
        </w:rPr>
      </w:pPr>
      <w:r>
        <w:rPr>
          <w:rFonts w:ascii="Arial" w:cs="Arial" w:eastAsia="Arial" w:hAnsi="Arial"/>
          <w:sz w:val="13"/>
          <w:szCs w:val="13"/>
          <w:color w:val="auto"/>
        </w:rPr>
        <w:t xml:space="preserve">On October 10, 2023, Sana Biotechnology, Inc. (“Sana”) announced a portfolio update to increase its focus on its </w:t>
      </w:r>
      <w:r>
        <w:rPr>
          <w:rFonts w:ascii="Arial" w:cs="Arial" w:eastAsia="Arial" w:hAnsi="Arial"/>
          <w:sz w:val="13"/>
          <w:szCs w:val="13"/>
          <w:i w:val="1"/>
          <w:iCs w:val="1"/>
          <w:color w:val="auto"/>
        </w:rPr>
        <w:t>ex vivo</w:t>
      </w:r>
      <w:r>
        <w:rPr>
          <w:rFonts w:ascii="Arial" w:cs="Arial" w:eastAsia="Arial" w:hAnsi="Arial"/>
          <w:sz w:val="13"/>
          <w:szCs w:val="13"/>
          <w:color w:val="auto"/>
        </w:rPr>
        <w:t xml:space="preserve"> cell therapy product candidates. As part of the portfolio update, Sana plans to reduce its near-term investment in its fusogen platform for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gene delivery, including by delaying the investigational new drug (IND) filing for its SG299 program, and reduce its workforce by approximately 29%. Sana anticipates that the portfolio update and associated reduction in force will be substantially complete by the fourth quarter of 2023, which is expected to result in 2024 operating cash burn of less than $200.0 million.</w:t>
      </w:r>
    </w:p>
    <w:p>
      <w:pPr>
        <w:spacing w:after="0" w:line="141" w:lineRule="exact"/>
        <w:rPr>
          <w:sz w:val="20"/>
          <w:szCs w:val="20"/>
          <w:color w:val="auto"/>
        </w:rPr>
      </w:pPr>
    </w:p>
    <w:p>
      <w:pPr>
        <w:ind w:left="640" w:right="659"/>
        <w:spacing w:after="0" w:line="252" w:lineRule="auto"/>
        <w:rPr>
          <w:sz w:val="20"/>
          <w:szCs w:val="20"/>
          <w:color w:val="auto"/>
        </w:rPr>
      </w:pPr>
      <w:r>
        <w:rPr>
          <w:rFonts w:ascii="Arial" w:cs="Arial" w:eastAsia="Arial" w:hAnsi="Arial"/>
          <w:sz w:val="13"/>
          <w:szCs w:val="13"/>
          <w:color w:val="auto"/>
        </w:rPr>
        <w:t>In connection with the portfolio update, Sana anticipates it will incur approximately $5.1 million and $1.7 million of cash-based expenses related to employee severance, benefits and related costs in the fourth quarter of 2023 and the first quarter of 2024, respectively. Sana will file an amended Current Report on Form 8-K if amounts differ materially from these estimates.</w:t>
      </w:r>
    </w:p>
    <w:p>
      <w:pPr>
        <w:spacing w:after="0" w:line="236"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82" w:lineRule="exact"/>
        <w:rPr>
          <w:sz w:val="20"/>
          <w:szCs w:val="20"/>
          <w:color w:val="auto"/>
        </w:rPr>
      </w:pPr>
    </w:p>
    <w:p>
      <w:pPr>
        <w:ind w:left="640" w:right="699"/>
        <w:spacing w:after="0" w:line="261" w:lineRule="auto"/>
        <w:rPr>
          <w:sz w:val="20"/>
          <w:szCs w:val="20"/>
          <w:color w:val="auto"/>
        </w:rPr>
      </w:pPr>
      <w:r>
        <w:rPr>
          <w:rFonts w:ascii="Arial" w:cs="Arial" w:eastAsia="Arial" w:hAnsi="Arial"/>
          <w:sz w:val="13"/>
          <w:szCs w:val="13"/>
          <w:color w:val="auto"/>
        </w:rPr>
        <w:t>On October 10, 2023, Sana issued a press release announcing its portfolio update, a copy of which is furnished as Exhibit 99.1 to this Current Report on Form 8-K (this “Current Report”) and is incorporated by reference herein.</w:t>
      </w:r>
    </w:p>
    <w:p>
      <w:pPr>
        <w:spacing w:after="0" w:line="130" w:lineRule="exact"/>
        <w:rPr>
          <w:sz w:val="20"/>
          <w:szCs w:val="20"/>
          <w:color w:val="auto"/>
        </w:rPr>
      </w:pPr>
    </w:p>
    <w:p>
      <w:pPr>
        <w:ind w:left="640" w:right="819"/>
        <w:spacing w:after="0" w:line="261" w:lineRule="auto"/>
        <w:rPr>
          <w:sz w:val="20"/>
          <w:szCs w:val="20"/>
          <w:color w:val="auto"/>
        </w:rPr>
      </w:pPr>
      <w:r>
        <w:rPr>
          <w:rFonts w:ascii="Arial" w:cs="Arial" w:eastAsia="Arial" w:hAnsi="Arial"/>
          <w:sz w:val="13"/>
          <w:szCs w:val="13"/>
          <w:color w:val="auto"/>
        </w:rPr>
        <w:t>On October 10, 2023, Sana released an updated corporate presentation (the “Corporate Presentation”), a copy of which is furnished as Exhibit 99.2 to this Current Report and is incorporated by reference herein.</w:t>
      </w:r>
    </w:p>
    <w:p>
      <w:pPr>
        <w:spacing w:after="0" w:line="130" w:lineRule="exact"/>
        <w:rPr>
          <w:sz w:val="20"/>
          <w:szCs w:val="20"/>
          <w:color w:val="auto"/>
        </w:rPr>
      </w:pPr>
    </w:p>
    <w:p>
      <w:pPr>
        <w:ind w:left="640" w:right="719"/>
        <w:spacing w:after="0" w:line="249" w:lineRule="auto"/>
        <w:rPr>
          <w:sz w:val="20"/>
          <w:szCs w:val="20"/>
          <w:color w:val="auto"/>
        </w:rPr>
      </w:pPr>
      <w:r>
        <w:rPr>
          <w:rFonts w:ascii="Arial" w:cs="Arial" w:eastAsia="Arial" w:hAnsi="Arial"/>
          <w:sz w:val="13"/>
          <w:szCs w:val="13"/>
          <w:color w:val="auto"/>
        </w:rPr>
        <w:t>The information furnished under Item 7.01 of this Current Report, including Exhibits 99.1 and 99.2, shall not be deemed “filed” for purposes of Section 18 of the Securities Exchange Act of 1934, as amended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Cautionary Note Regarding Forward-Looking Statements</w:t>
      </w:r>
    </w:p>
    <w:p>
      <w:pPr>
        <w:spacing w:after="0" w:line="82" w:lineRule="exact"/>
        <w:rPr>
          <w:sz w:val="20"/>
          <w:szCs w:val="20"/>
          <w:color w:val="auto"/>
        </w:rPr>
      </w:pPr>
    </w:p>
    <w:p>
      <w:pPr>
        <w:ind w:left="640" w:right="659"/>
        <w:spacing w:after="0" w:line="295" w:lineRule="auto"/>
        <w:rPr>
          <w:sz w:val="20"/>
          <w:szCs w:val="20"/>
          <w:color w:val="auto"/>
        </w:rPr>
      </w:pPr>
      <w:r>
        <w:rPr>
          <w:rFonts w:ascii="Arial" w:cs="Arial" w:eastAsia="Arial" w:hAnsi="Arial"/>
          <w:sz w:val="11"/>
          <w:szCs w:val="11"/>
          <w:color w:val="auto"/>
        </w:rPr>
        <w:t>This Current Report contains “forward-looking statements” within the meaning of the Private Securities Litigation Reform Act of 1995, including statements regarding (i) Sana’s expected 2024 operating cash burn, including expectations regarding the effect of the portfolio update thereon; (ii) the scope and the timing of the portfolio update; and (iii) the scope and timing of expected cash-based expenses and charges for employee severance and benefits and other costs related to the portfolio update, which are based on management’s current expectations of future events and are subject to a number of risks and uncertainties that could cause actual results to differ materially and adversely from those set forth in or implied by such forward-looking statements. For a discussion of these risks and uncertainties, and other important factors, any of which could cause Sana’s actual results to differ from those contained in the forward-looking statements, see the discussions of potential risks, uncertainties and other important factors in Sana’s Annual Report on Form 10-K for the year ended December 31, 2022, and in subsequent filings with the SEC. Forward-looking statements in this Current Report are made as of the date of this Current Report and Sana undertakes no duty to update any such statements unless required by law.</w:t>
      </w:r>
    </w:p>
    <w:p>
      <w:pPr>
        <w:spacing w:after="0" w:line="217"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 Exhibits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See the Exhibit Index below, which is incorporated by reference herein.</w:t>
      </w:r>
    </w:p>
    <w:p>
      <w:pPr>
        <w:spacing w:after="0" w:line="301"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560" w:type="dxa"/>
            <w:vAlign w:val="bottom"/>
            <w:gridSpan w:val="3"/>
          </w:tcPr>
          <w:p>
            <w:pPr>
              <w:ind w:left="2160"/>
              <w:spacing w:after="0"/>
              <w:rPr>
                <w:sz w:val="20"/>
                <w:szCs w:val="20"/>
                <w:color w:val="auto"/>
              </w:rPr>
            </w:pPr>
            <w:r>
              <w:rPr>
                <w:rFonts w:ascii="Arial" w:cs="Arial" w:eastAsia="Arial" w:hAnsi="Arial"/>
                <w:sz w:val="13"/>
                <w:szCs w:val="13"/>
                <w:b w:val="1"/>
                <w:bCs w:val="1"/>
                <w:color w:val="auto"/>
              </w:rPr>
              <w:t>EXHIBIT INDEX</w:t>
            </w:r>
          </w:p>
        </w:tc>
      </w:tr>
      <w:tr>
        <w:trPr>
          <w:trHeight w:val="260"/>
        </w:trPr>
        <w:tc>
          <w:tcPr>
            <w:tcW w:w="7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Exhibit</w:t>
            </w:r>
          </w:p>
        </w:tc>
        <w:tc>
          <w:tcPr>
            <w:tcW w:w="50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119"/>
        </w:trPr>
        <w:tc>
          <w:tcPr>
            <w:tcW w:w="3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5"/>
              </w:rPr>
              <w:t>Number</w:t>
            </w:r>
          </w:p>
        </w:tc>
        <w:tc>
          <w:tcPr>
            <w:tcW w:w="360" w:type="dxa"/>
            <w:vAlign w:val="bottom"/>
          </w:tcPr>
          <w:p>
            <w:pPr>
              <w:spacing w:after="0"/>
              <w:rPr>
                <w:sz w:val="10"/>
                <w:szCs w:val="10"/>
                <w:color w:val="auto"/>
              </w:rPr>
            </w:pPr>
          </w:p>
        </w:tc>
        <w:tc>
          <w:tcPr>
            <w:tcW w:w="4060" w:type="dxa"/>
            <w:vAlign w:val="bottom"/>
            <w:gridSpan w:val="4"/>
          </w:tcPr>
          <w:p>
            <w:pPr>
              <w:spacing w:after="0" w:line="99" w:lineRule="exact"/>
              <w:rPr>
                <w:sz w:val="20"/>
                <w:szCs w:val="20"/>
                <w:color w:val="auto"/>
              </w:rPr>
            </w:pPr>
            <w:r>
              <w:rPr>
                <w:rFonts w:ascii="Arial" w:cs="Arial" w:eastAsia="Arial" w:hAnsi="Arial"/>
                <w:sz w:val="10"/>
                <w:szCs w:val="10"/>
                <w:b w:val="1"/>
                <w:bCs w:val="1"/>
                <w:color w:val="auto"/>
              </w:rPr>
              <w:t>Description</w:t>
            </w:r>
          </w:p>
        </w:tc>
      </w:tr>
      <w:tr>
        <w:trPr>
          <w:trHeight w:val="28"/>
        </w:trPr>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199"/>
        </w:trPr>
        <w:tc>
          <w:tcPr>
            <w:tcW w:w="360" w:type="dxa"/>
            <w:vAlign w:val="bottom"/>
          </w:tcPr>
          <w:p>
            <w:pPr>
              <w:spacing w:after="0"/>
              <w:rPr>
                <w:sz w:val="20"/>
                <w:szCs w:val="20"/>
                <w:color w:val="auto"/>
              </w:rPr>
            </w:pPr>
            <w:r>
              <w:rPr>
                <w:rFonts w:ascii="Arial" w:cs="Arial" w:eastAsia="Arial" w:hAnsi="Arial"/>
                <w:sz w:val="13"/>
                <w:szCs w:val="13"/>
                <w:color w:val="auto"/>
              </w:rPr>
              <w:t>99.1</w:t>
            </w:r>
          </w:p>
        </w:tc>
        <w:tc>
          <w:tcPr>
            <w:tcW w:w="360" w:type="dxa"/>
            <w:vAlign w:val="bottom"/>
          </w:tcPr>
          <w:p>
            <w:pPr>
              <w:spacing w:after="0"/>
              <w:rPr>
                <w:sz w:val="17"/>
                <w:szCs w:val="17"/>
                <w:color w:val="auto"/>
              </w:rPr>
            </w:pPr>
          </w:p>
        </w:tc>
        <w:tc>
          <w:tcPr>
            <w:tcW w:w="336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color w:val="0000EE"/>
                <w:w w:val="86"/>
              </w:rPr>
              <w:t>Press Release of Sana Biotechnology, Inc. dated October 10, 2023</w:t>
            </w:r>
          </w:p>
        </w:tc>
        <w:tc>
          <w:tcPr>
            <w:tcW w:w="700" w:type="dxa"/>
            <w:vAlign w:val="bottom"/>
            <w:gridSpan w:val="2"/>
          </w:tcPr>
          <w:p>
            <w:pPr>
              <w:spacing w:after="0"/>
              <w:rPr>
                <w:sz w:val="17"/>
                <w:szCs w:val="17"/>
                <w:color w:val="auto"/>
              </w:rPr>
            </w:pPr>
          </w:p>
        </w:tc>
      </w:tr>
      <w:tr>
        <w:trPr>
          <w:trHeight w:val="207"/>
        </w:trPr>
        <w:tc>
          <w:tcPr>
            <w:tcW w:w="360" w:type="dxa"/>
            <w:vAlign w:val="bottom"/>
          </w:tcPr>
          <w:p>
            <w:pPr>
              <w:spacing w:after="0"/>
              <w:rPr>
                <w:sz w:val="20"/>
                <w:szCs w:val="20"/>
                <w:color w:val="auto"/>
              </w:rPr>
            </w:pPr>
            <w:r>
              <w:rPr>
                <w:rFonts w:ascii="Arial" w:cs="Arial" w:eastAsia="Arial" w:hAnsi="Arial"/>
                <w:sz w:val="13"/>
                <w:szCs w:val="13"/>
                <w:color w:val="auto"/>
              </w:rPr>
              <w:t>99.2</w:t>
            </w:r>
          </w:p>
        </w:tc>
        <w:tc>
          <w:tcPr>
            <w:tcW w:w="36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3"/>
                <w:szCs w:val="13"/>
                <w:color w:val="0000EE"/>
                <w:w w:val="92"/>
              </w:rPr>
              <w:t>Corporate Presentation of Sana Biotechnology, Inc. dated October 10, 2023</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r>
              <w:rPr>
                <w:rFonts w:ascii="Arial" w:cs="Arial" w:eastAsia="Arial" w:hAnsi="Arial"/>
                <w:sz w:val="13"/>
                <w:szCs w:val="13"/>
                <w:color w:val="auto"/>
              </w:rPr>
              <w:t>104</w:t>
            </w:r>
          </w:p>
        </w:tc>
        <w:tc>
          <w:tcPr>
            <w:tcW w:w="360" w:type="dxa"/>
            <w:vAlign w:val="bottom"/>
          </w:tcPr>
          <w:p>
            <w:pPr>
              <w:spacing w:after="0"/>
              <w:rPr>
                <w:sz w:val="20"/>
                <w:szCs w:val="20"/>
                <w:color w:val="auto"/>
              </w:rPr>
            </w:pPr>
          </w:p>
        </w:tc>
        <w:tc>
          <w:tcPr>
            <w:tcW w:w="4060" w:type="dxa"/>
            <w:vAlign w:val="bottom"/>
            <w:gridSpan w:val="4"/>
          </w:tcPr>
          <w:p>
            <w:pPr>
              <w:spacing w:after="0"/>
              <w:rPr>
                <w:sz w:val="20"/>
                <w:szCs w:val="20"/>
                <w:color w:val="auto"/>
              </w:rPr>
            </w:pPr>
            <w:r>
              <w:rPr>
                <w:rFonts w:ascii="Arial" w:cs="Arial" w:eastAsia="Arial" w:hAnsi="Arial"/>
                <w:sz w:val="13"/>
                <w:szCs w:val="13"/>
                <w:color w:val="auto"/>
                <w:w w:val="89"/>
              </w:rPr>
              <w:t>Cover Page Interactive Data File (embedded within the Inline XBRL document)</w:t>
            </w:r>
          </w:p>
        </w:tc>
      </w:tr>
    </w:tbl>
    <w:p>
      <w:pPr>
        <w:sectPr>
          <w:pgSz w:w="11900" w:h="16838" w:orient="portrait"/>
          <w:cols w:equalWidth="0" w:num="1">
            <w:col w:w="9019"/>
          </w:cols>
          <w:pgMar w:left="1440" w:top="25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8" w:lineRule="exact"/>
        <w:rPr>
          <w:sz w:val="20"/>
          <w:szCs w:val="20"/>
          <w:color w:val="auto"/>
        </w:rPr>
      </w:pPr>
    </w:p>
    <w:p>
      <w:pPr>
        <w:ind w:left="640" w:right="117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Sana Biotechnology, Inc.</w:t>
      </w:r>
    </w:p>
    <w:p>
      <w:pPr>
        <w:spacing w:after="0" w:line="158" w:lineRule="exact"/>
        <w:rPr>
          <w:sz w:val="20"/>
          <w:szCs w:val="20"/>
          <w:color w:val="auto"/>
        </w:rPr>
      </w:pPr>
    </w:p>
    <w:p>
      <w:pPr>
        <w:ind w:left="640"/>
        <w:spacing w:after="0"/>
        <w:tabs>
          <w:tab w:leader="none" w:pos="4560" w:val="left"/>
          <w:tab w:leader="none" w:pos="6120" w:val="left"/>
        </w:tabs>
        <w:rPr>
          <w:sz w:val="20"/>
          <w:szCs w:val="20"/>
          <w:color w:val="auto"/>
        </w:rPr>
      </w:pPr>
      <w:r>
        <w:rPr>
          <w:rFonts w:ascii="Arial" w:cs="Arial" w:eastAsia="Arial" w:hAnsi="Arial"/>
          <w:sz w:val="13"/>
          <w:szCs w:val="13"/>
          <w:color w:val="auto"/>
        </w:rPr>
        <w:t>Date: October 10, 2023</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Bernard Cassidy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6985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0" w:lineRule="exact"/>
        <w:rPr>
          <w:sz w:val="20"/>
          <w:szCs w:val="20"/>
          <w:color w:val="auto"/>
        </w:rPr>
      </w:pPr>
    </w:p>
    <w:p>
      <w:pPr>
        <w:jc w:val="center"/>
        <w:ind w:left="4240"/>
        <w:spacing w:after="0"/>
        <w:rPr>
          <w:sz w:val="20"/>
          <w:szCs w:val="20"/>
          <w:color w:val="auto"/>
        </w:rPr>
      </w:pPr>
      <w:r>
        <w:rPr>
          <w:rFonts w:ascii="Arial" w:cs="Arial" w:eastAsia="Arial" w:hAnsi="Arial"/>
          <w:sz w:val="13"/>
          <w:szCs w:val="13"/>
          <w:b w:val="1"/>
          <w:bCs w:val="1"/>
          <w:color w:val="auto"/>
        </w:rPr>
        <w:t>Bernard Cassidy</w:t>
      </w:r>
    </w:p>
    <w:p>
      <w:pPr>
        <w:spacing w:after="0" w:line="2" w:lineRule="exact"/>
        <w:rPr>
          <w:sz w:val="20"/>
          <w:szCs w:val="20"/>
          <w:color w:val="auto"/>
        </w:rPr>
      </w:pPr>
    </w:p>
    <w:p>
      <w:pPr>
        <w:jc w:val="center"/>
        <w:ind w:left="4240"/>
        <w:spacing w:after="0"/>
        <w:rPr>
          <w:sz w:val="20"/>
          <w:szCs w:val="20"/>
          <w:color w:val="auto"/>
        </w:rPr>
      </w:pPr>
      <w:r>
        <w:rPr>
          <w:rFonts w:ascii="Arial" w:cs="Arial" w:eastAsia="Arial" w:hAnsi="Arial"/>
          <w:sz w:val="11"/>
          <w:szCs w:val="11"/>
          <w:b w:val="1"/>
          <w:bCs w:val="1"/>
          <w:color w:val="auto"/>
        </w:rPr>
        <w:t>Executive Vice President and General Counsel</w:t>
      </w:r>
    </w:p>
    <w:p>
      <w:pPr>
        <w:sectPr>
          <w:pgSz w:w="11900" w:h="16838" w:orient="portrait"/>
          <w:cols w:equalWidth="0" w:num="1">
            <w:col w:w="9019"/>
          </w:cols>
          <w:pgMar w:left="1440" w:top="250" w:right="1440" w:bottom="1440" w:gutter="0" w:footer="0" w:header="0"/>
        </w:sectPr>
      </w:pPr>
    </w:p>
    <w:bookmarkStart w:id="3" w:name="page4"/>
    <w:bookmarkEnd w:id="3"/>
    <w:p>
      <w:pPr>
        <w:ind w:left="7720"/>
        <w:spacing w:after="0"/>
        <w:rPr>
          <w:sz w:val="20"/>
          <w:szCs w:val="20"/>
          <w:color w:val="auto"/>
        </w:rPr>
      </w:pPr>
      <w:r>
        <w:rPr>
          <w:rFonts w:ascii="Arial" w:cs="Arial" w:eastAsia="Arial" w:hAnsi="Arial"/>
          <w:sz w:val="11"/>
          <w:szCs w:val="11"/>
          <w:b w:val="1"/>
          <w:bCs w:val="1"/>
          <w:color w:val="auto"/>
        </w:rPr>
        <w:t>Exhibit 99.1</w:t>
      </w:r>
    </w:p>
    <w:p>
      <w:pPr>
        <w:spacing w:after="0" w:line="177" w:lineRule="exact"/>
        <w:rPr>
          <w:sz w:val="20"/>
          <w:szCs w:val="20"/>
          <w:color w:val="auto"/>
        </w:rPr>
      </w:pPr>
    </w:p>
    <w:p>
      <w:pPr>
        <w:jc w:val="center"/>
        <w:ind w:left="640" w:right="659"/>
        <w:spacing w:after="0" w:line="267" w:lineRule="auto"/>
        <w:rPr>
          <w:sz w:val="20"/>
          <w:szCs w:val="20"/>
          <w:color w:val="auto"/>
        </w:rPr>
      </w:pPr>
      <w:r>
        <w:rPr>
          <w:rFonts w:ascii="Arial" w:cs="Arial" w:eastAsia="Arial" w:hAnsi="Arial"/>
          <w:sz w:val="13"/>
          <w:szCs w:val="13"/>
          <w:b w:val="1"/>
          <w:bCs w:val="1"/>
          <w:color w:val="auto"/>
        </w:rPr>
        <w:t>Sana Biotechnology Announces Increased Focus on Hypoimmune-Related Pipeline with the Potential to Deliver Clinical Proof of Concept Data from Four Programs in 2023 and 2024 with a 2024 Operating Burn under $200M</w:t>
      </w:r>
    </w:p>
    <w:p>
      <w:pPr>
        <w:spacing w:after="0" w:line="126" w:lineRule="exact"/>
        <w:rPr>
          <w:sz w:val="20"/>
          <w:szCs w:val="20"/>
          <w:color w:val="auto"/>
        </w:rPr>
      </w:pPr>
    </w:p>
    <w:p>
      <w:pPr>
        <w:jc w:val="center"/>
        <w:ind w:left="640" w:right="639"/>
        <w:spacing w:after="0" w:line="261" w:lineRule="auto"/>
        <w:rPr>
          <w:sz w:val="20"/>
          <w:szCs w:val="20"/>
          <w:color w:val="auto"/>
        </w:rPr>
      </w:pPr>
      <w:r>
        <w:rPr>
          <w:rFonts w:ascii="Arial" w:cs="Arial" w:eastAsia="Arial" w:hAnsi="Arial"/>
          <w:sz w:val="13"/>
          <w:szCs w:val="13"/>
          <w:i w:val="1"/>
          <w:iCs w:val="1"/>
          <w:color w:val="auto"/>
        </w:rPr>
        <w:t>Increasing focus on ex vivo cell therapy platform based on extensive preclinical and early translational clinical data suggesting ability of hypoimmune (HIP)-modified cells to evade immune detection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Human proof of concept data in multiple clinical settings – including oncology, autoimmune diseases, and type 1 diabetes – expected in 2023 and 2024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IND submitted to investigate SC291 in multiple B-cell-mediated autoimmune diseases with initial proof of concept data expected in 2024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Enrollment continues in SC291 Phase 1 ARDENT trial in patients with refractory B-cell malignancies with data expected in 2023 and 2024</w:t>
      </w:r>
    </w:p>
    <w:p>
      <w:pPr>
        <w:spacing w:after="0" w:line="165" w:lineRule="exact"/>
        <w:rPr>
          <w:sz w:val="20"/>
          <w:szCs w:val="20"/>
          <w:color w:val="auto"/>
        </w:rPr>
      </w:pPr>
    </w:p>
    <w:p>
      <w:pPr>
        <w:jc w:val="center"/>
        <w:ind w:left="640" w:right="659"/>
        <w:spacing w:after="0" w:line="261" w:lineRule="auto"/>
        <w:rPr>
          <w:sz w:val="20"/>
          <w:szCs w:val="20"/>
          <w:color w:val="auto"/>
        </w:rPr>
      </w:pPr>
      <w:r>
        <w:rPr>
          <w:rFonts w:ascii="Arial" w:cs="Arial" w:eastAsia="Arial" w:hAnsi="Arial"/>
          <w:sz w:val="13"/>
          <w:szCs w:val="13"/>
          <w:i w:val="1"/>
          <w:iCs w:val="1"/>
          <w:color w:val="auto"/>
        </w:rPr>
        <w:t>CTA submitted for investigator sponsored trial exploring HIP-modified primary islet cells in patients with type 1 diabetes; on track for initial HIP proof of concept data in 2023 and 2024</w:t>
      </w:r>
    </w:p>
    <w:p>
      <w:pPr>
        <w:spacing w:after="0" w:line="130" w:lineRule="exact"/>
        <w:rPr>
          <w:sz w:val="20"/>
          <w:szCs w:val="20"/>
          <w:color w:val="auto"/>
        </w:rPr>
      </w:pPr>
    </w:p>
    <w:p>
      <w:pPr>
        <w:jc w:val="center"/>
        <w:ind w:left="640" w:right="639"/>
        <w:spacing w:after="0" w:line="261" w:lineRule="auto"/>
        <w:rPr>
          <w:sz w:val="20"/>
          <w:szCs w:val="20"/>
          <w:color w:val="auto"/>
        </w:rPr>
      </w:pPr>
      <w:r>
        <w:rPr>
          <w:rFonts w:ascii="Arial" w:cs="Arial" w:eastAsia="Arial" w:hAnsi="Arial"/>
          <w:sz w:val="13"/>
          <w:szCs w:val="13"/>
          <w:i w:val="1"/>
          <w:iCs w:val="1"/>
          <w:color w:val="auto"/>
        </w:rPr>
        <w:t>IND submission for SC262 in patients with B-cell malignancies who have failed a CD19 therapy on track for this quarter with initial proof of concept data expected in 2024</w:t>
      </w:r>
    </w:p>
    <w:p>
      <w:pPr>
        <w:spacing w:after="0" w:line="130" w:lineRule="exact"/>
        <w:rPr>
          <w:sz w:val="20"/>
          <w:szCs w:val="20"/>
          <w:color w:val="auto"/>
        </w:rPr>
      </w:pPr>
    </w:p>
    <w:p>
      <w:pPr>
        <w:jc w:val="center"/>
        <w:ind w:left="640" w:right="639"/>
        <w:spacing w:after="0" w:line="261" w:lineRule="auto"/>
        <w:rPr>
          <w:sz w:val="20"/>
          <w:szCs w:val="20"/>
          <w:color w:val="auto"/>
        </w:rPr>
      </w:pPr>
      <w:r>
        <w:rPr>
          <w:rFonts w:ascii="Arial" w:cs="Arial" w:eastAsia="Arial" w:hAnsi="Arial"/>
          <w:sz w:val="13"/>
          <w:szCs w:val="13"/>
          <w:i w:val="1"/>
          <w:iCs w:val="1"/>
          <w:color w:val="auto"/>
        </w:rPr>
        <w:t>Reducing near-term investment on fusogen in vivo delivery platform clinical and preclinical programs, including delaying SG299 IND (in vivo CD19 CAR T)</w:t>
      </w:r>
    </w:p>
    <w:p>
      <w:pPr>
        <w:spacing w:after="0" w:line="130" w:lineRule="exact"/>
        <w:rPr>
          <w:sz w:val="20"/>
          <w:szCs w:val="20"/>
          <w:color w:val="auto"/>
        </w:rPr>
      </w:pPr>
    </w:p>
    <w:p>
      <w:pPr>
        <w:jc w:val="center"/>
        <w:ind w:left="640" w:right="659"/>
        <w:spacing w:after="0" w:line="261" w:lineRule="auto"/>
        <w:rPr>
          <w:sz w:val="20"/>
          <w:szCs w:val="20"/>
          <w:color w:val="auto"/>
        </w:rPr>
      </w:pPr>
      <w:r>
        <w:rPr>
          <w:rFonts w:ascii="Arial" w:cs="Arial" w:eastAsia="Arial" w:hAnsi="Arial"/>
          <w:sz w:val="13"/>
          <w:szCs w:val="13"/>
          <w:i w:val="1"/>
          <w:iCs w:val="1"/>
          <w:color w:val="auto"/>
        </w:rPr>
        <w:t>2024 operating cash burn expected below $200 million following approximately 29% headcount reduction and decreased expenses related to the fusogen platform</w:t>
      </w:r>
    </w:p>
    <w:p>
      <w:pPr>
        <w:spacing w:after="0" w:line="130" w:lineRule="exact"/>
        <w:rPr>
          <w:sz w:val="20"/>
          <w:szCs w:val="20"/>
          <w:color w:val="auto"/>
        </w:rPr>
      </w:pPr>
    </w:p>
    <w:p>
      <w:pPr>
        <w:ind w:left="640" w:right="659"/>
        <w:spacing w:after="0" w:line="271" w:lineRule="auto"/>
        <w:rPr>
          <w:sz w:val="20"/>
          <w:szCs w:val="20"/>
          <w:color w:val="auto"/>
        </w:rPr>
      </w:pPr>
      <w:r>
        <w:rPr>
          <w:rFonts w:ascii="Arial" w:cs="Arial" w:eastAsia="Arial" w:hAnsi="Arial"/>
          <w:sz w:val="12"/>
          <w:szCs w:val="12"/>
          <w:color w:val="auto"/>
        </w:rPr>
        <w:t xml:space="preserve">SEATTLE, October 10, 2023 — Sana Biotechnology, Inc. (NASDAQ: SANA), a company focused on changing the possible for patients through engineered cells, today announced a portfolio update, including both increased focus on its </w:t>
      </w:r>
      <w:r>
        <w:rPr>
          <w:rFonts w:ascii="Arial" w:cs="Arial" w:eastAsia="Arial" w:hAnsi="Arial"/>
          <w:sz w:val="12"/>
          <w:szCs w:val="12"/>
          <w:i w:val="1"/>
          <w:iCs w:val="1"/>
          <w:color w:val="auto"/>
        </w:rPr>
        <w:t>ex vivo</w:t>
      </w:r>
      <w:r>
        <w:rPr>
          <w:rFonts w:ascii="Arial" w:cs="Arial" w:eastAsia="Arial" w:hAnsi="Arial"/>
          <w:sz w:val="12"/>
          <w:szCs w:val="12"/>
          <w:color w:val="auto"/>
        </w:rPr>
        <w:t xml:space="preserve"> cell therapy product candidates and an IND submission for SC291 in autoimmune diseases. Sana is positioned to generate clinical proof of concept from multiple programs in 2023 and 2024, with a goal of better understanding its allogeneic HIP CAR T programs in blood cancers, allogeneic HIP CAR T program in autoimmune diseases, and HIP pancreatic islet cells in type 1 diabetes. The company will reduce near-term spend on its fusogen platform for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gene delivery, which postpones the planned SG299 IND and decreases its expected forward operating burn.</w:t>
      </w:r>
    </w:p>
    <w:p>
      <w:pPr>
        <w:spacing w:after="0" w:line="127" w:lineRule="exact"/>
        <w:rPr>
          <w:sz w:val="20"/>
          <w:szCs w:val="20"/>
          <w:color w:val="auto"/>
        </w:rPr>
      </w:pPr>
    </w:p>
    <w:p>
      <w:pPr>
        <w:ind w:left="640" w:right="819"/>
        <w:spacing w:after="0" w:line="276" w:lineRule="auto"/>
        <w:rPr>
          <w:sz w:val="20"/>
          <w:szCs w:val="20"/>
          <w:color w:val="auto"/>
        </w:rPr>
      </w:pPr>
      <w:r>
        <w:rPr>
          <w:rFonts w:ascii="Arial" w:cs="Arial" w:eastAsia="Arial" w:hAnsi="Arial"/>
          <w:sz w:val="12"/>
          <w:szCs w:val="12"/>
          <w:color w:val="auto"/>
        </w:rPr>
        <w:t>“We have increased confidence in the potential of our HIP platform, and near-term, we are increasing focus on three therapeutic areas that utilize this platform and have the potential to address large unmet needs with curative intent – allogeneic CAR T cells in oncology, allogeneic CAR T cells in autoimmune diseases, and pancreatic islet cell transplantation in type 1 diabetes. We plan to present clinical data in these areas at various times across 2023 and 2024,” said Steve Harr, President and CEO of Sana. “The SC291 IND submission for the treatment of</w:t>
      </w:r>
    </w:p>
    <w:p>
      <w:pPr>
        <w:sectPr>
          <w:pgSz w:w="11900" w:h="16838" w:orient="portrait"/>
          <w:cols w:equalWidth="0" w:num="1">
            <w:col w:w="9019"/>
          </w:cols>
          <w:pgMar w:left="1440" w:top="127" w:right="1440" w:bottom="1440" w:gutter="0" w:footer="0" w:header="0"/>
        </w:sectPr>
      </w:pPr>
    </w:p>
    <w:bookmarkStart w:id="4" w:name="page5"/>
    <w:bookmarkEnd w:id="4"/>
    <w:p>
      <w:pPr>
        <w:ind w:left="640" w:right="659"/>
        <w:spacing w:after="0" w:line="30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autoimmune diseases positions us to move into the rapidly emerging opportunity of utilizing CAR T cells in these large and underserved populations, leveraging the investments we have made to date in the HIP platform, T cell therapeutics, and scaled manufacturing that can produce hundreds of patient doses per run. We need to ensure that we have a financeable cost structure with these emerging opportunities factored in, and this strategic re-positioning enables us to deliver significant clinical data across multiple drug candidates with the current balance sheet. These changes unfortunately mean that many talented and valued colleagues will depart the company, and we thank them for their contributions and commitment to our mission.”</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Select Program Review</w:t>
      </w:r>
    </w:p>
    <w:p>
      <w:pPr>
        <w:spacing w:after="0" w:line="78" w:lineRule="exact"/>
        <w:rPr>
          <w:sz w:val="20"/>
          <w:szCs w:val="20"/>
          <w:color w:val="auto"/>
        </w:rPr>
      </w:pPr>
    </w:p>
    <w:p>
      <w:pPr>
        <w:ind w:left="640" w:right="899"/>
        <w:spacing w:after="0" w:line="267" w:lineRule="auto"/>
        <w:rPr>
          <w:sz w:val="20"/>
          <w:szCs w:val="20"/>
          <w:color w:val="auto"/>
        </w:rPr>
      </w:pPr>
      <w:r>
        <w:rPr>
          <w:rFonts w:ascii="Arial" w:cs="Arial" w:eastAsia="Arial" w:hAnsi="Arial"/>
          <w:sz w:val="13"/>
          <w:szCs w:val="13"/>
          <w:b w:val="1"/>
          <w:bCs w:val="1"/>
          <w:color w:val="auto"/>
        </w:rPr>
        <w:t xml:space="preserve">SC291 Oncology (HIP-modified CD19-directed allogeneic CAR T): </w:t>
      </w:r>
      <w:r>
        <w:rPr>
          <w:rFonts w:ascii="Arial" w:cs="Arial" w:eastAsia="Arial" w:hAnsi="Arial"/>
          <w:sz w:val="13"/>
          <w:szCs w:val="13"/>
          <w:color w:val="auto"/>
        </w:rPr>
        <w:t>Enrollment continues in Sana’s ARDENT Phase 1 study for the treatment of</w:t>
      </w:r>
      <w:r>
        <w:rPr>
          <w:rFonts w:ascii="Arial" w:cs="Arial" w:eastAsia="Arial" w:hAnsi="Arial"/>
          <w:sz w:val="13"/>
          <w:szCs w:val="13"/>
          <w:b w:val="1"/>
          <w:bCs w:val="1"/>
          <w:color w:val="auto"/>
        </w:rPr>
        <w:t xml:space="preserve"> </w:t>
      </w:r>
      <w:r>
        <w:rPr>
          <w:rFonts w:ascii="Arial" w:cs="Arial" w:eastAsia="Arial" w:hAnsi="Arial"/>
          <w:sz w:val="13"/>
          <w:szCs w:val="13"/>
          <w:color w:val="auto"/>
        </w:rPr>
        <w:t>B-cell lymphomas and leukemias with clinical data expected in 2023 and 2024.</w:t>
      </w:r>
    </w:p>
    <w:p>
      <w:pPr>
        <w:spacing w:after="0" w:line="122" w:lineRule="exact"/>
        <w:rPr>
          <w:sz w:val="20"/>
          <w:szCs w:val="20"/>
          <w:color w:val="auto"/>
        </w:rPr>
      </w:pPr>
    </w:p>
    <w:p>
      <w:pPr>
        <w:ind w:left="640" w:right="779"/>
        <w:spacing w:after="0" w:line="267" w:lineRule="auto"/>
        <w:rPr>
          <w:sz w:val="20"/>
          <w:szCs w:val="20"/>
          <w:color w:val="auto"/>
        </w:rPr>
      </w:pPr>
      <w:r>
        <w:rPr>
          <w:rFonts w:ascii="Arial" w:cs="Arial" w:eastAsia="Arial" w:hAnsi="Arial"/>
          <w:sz w:val="13"/>
          <w:szCs w:val="13"/>
          <w:b w:val="1"/>
          <w:bCs w:val="1"/>
          <w:color w:val="auto"/>
        </w:rPr>
        <w:t xml:space="preserve">SC291 Autoimmune (HIP-modified CD19-directed allogeneic CAR T): </w:t>
      </w:r>
      <w:r>
        <w:rPr>
          <w:rFonts w:ascii="Arial" w:cs="Arial" w:eastAsia="Arial" w:hAnsi="Arial"/>
          <w:sz w:val="13"/>
          <w:szCs w:val="13"/>
          <w:color w:val="auto"/>
        </w:rPr>
        <w:t>Sana submitted an IND for the treatment of multiple autoimmune diseases,</w:t>
      </w:r>
      <w:r>
        <w:rPr>
          <w:rFonts w:ascii="Arial" w:cs="Arial" w:eastAsia="Arial" w:hAnsi="Arial"/>
          <w:sz w:val="13"/>
          <w:szCs w:val="13"/>
          <w:b w:val="1"/>
          <w:bCs w:val="1"/>
          <w:color w:val="auto"/>
        </w:rPr>
        <w:t xml:space="preserve"> </w:t>
      </w:r>
      <w:r>
        <w:rPr>
          <w:rFonts w:ascii="Arial" w:cs="Arial" w:eastAsia="Arial" w:hAnsi="Arial"/>
          <w:sz w:val="13"/>
          <w:szCs w:val="13"/>
          <w:color w:val="auto"/>
        </w:rPr>
        <w:t>with preliminary clinical data expected across multiple indications in 2024.</w:t>
      </w:r>
    </w:p>
    <w:p>
      <w:pPr>
        <w:spacing w:after="0" w:line="122" w:lineRule="exact"/>
        <w:rPr>
          <w:sz w:val="20"/>
          <w:szCs w:val="20"/>
          <w:color w:val="auto"/>
        </w:rPr>
      </w:pPr>
    </w:p>
    <w:p>
      <w:pPr>
        <w:ind w:left="640" w:right="939"/>
        <w:spacing w:after="0" w:line="309" w:lineRule="auto"/>
        <w:rPr>
          <w:sz w:val="20"/>
          <w:szCs w:val="20"/>
          <w:color w:val="auto"/>
        </w:rPr>
      </w:pPr>
      <w:r>
        <w:rPr>
          <w:rFonts w:ascii="Arial" w:cs="Arial" w:eastAsia="Arial" w:hAnsi="Arial"/>
          <w:sz w:val="12"/>
          <w:szCs w:val="12"/>
          <w:b w:val="1"/>
          <w:bCs w:val="1"/>
          <w:color w:val="auto"/>
        </w:rPr>
        <w:t xml:space="preserve">SC262 (HIP-modified CD22-directed allogeneic CAR T): </w:t>
      </w:r>
      <w:r>
        <w:rPr>
          <w:rFonts w:ascii="Arial" w:cs="Arial" w:eastAsia="Arial" w:hAnsi="Arial"/>
          <w:sz w:val="12"/>
          <w:szCs w:val="12"/>
          <w:color w:val="auto"/>
        </w:rPr>
        <w:t>Sana expects to submit an IND in 4Q 2023 for the treatment of B-cell lymphomas and</w:t>
      </w:r>
      <w:r>
        <w:rPr>
          <w:rFonts w:ascii="Arial" w:cs="Arial" w:eastAsia="Arial" w:hAnsi="Arial"/>
          <w:sz w:val="12"/>
          <w:szCs w:val="12"/>
          <w:b w:val="1"/>
          <w:bCs w:val="1"/>
          <w:color w:val="auto"/>
        </w:rPr>
        <w:t xml:space="preserve"> </w:t>
      </w:r>
      <w:r>
        <w:rPr>
          <w:rFonts w:ascii="Arial" w:cs="Arial" w:eastAsia="Arial" w:hAnsi="Arial"/>
          <w:sz w:val="12"/>
          <w:szCs w:val="12"/>
          <w:color w:val="auto"/>
        </w:rPr>
        <w:t>leukemias in patients who have failed CD19-directed CAR T therapies, with preliminary clinical data expected in 2024.</w:t>
      </w:r>
    </w:p>
    <w:p>
      <w:pPr>
        <w:spacing w:after="0" w:line="100" w:lineRule="exact"/>
        <w:rPr>
          <w:sz w:val="20"/>
          <w:szCs w:val="20"/>
          <w:color w:val="auto"/>
        </w:rPr>
      </w:pPr>
    </w:p>
    <w:p>
      <w:pPr>
        <w:ind w:left="640" w:right="719"/>
        <w:spacing w:after="0" w:line="255" w:lineRule="auto"/>
        <w:rPr>
          <w:sz w:val="20"/>
          <w:szCs w:val="20"/>
          <w:color w:val="auto"/>
        </w:rPr>
      </w:pPr>
      <w:r>
        <w:rPr>
          <w:rFonts w:ascii="Arial" w:cs="Arial" w:eastAsia="Arial" w:hAnsi="Arial"/>
          <w:sz w:val="13"/>
          <w:szCs w:val="13"/>
          <w:b w:val="1"/>
          <w:bCs w:val="1"/>
          <w:color w:val="auto"/>
        </w:rPr>
        <w:t xml:space="preserve">HIP-modified primary islet cells for the treatment of type 1 diabetes: </w:t>
      </w:r>
      <w:r>
        <w:rPr>
          <w:rFonts w:ascii="Arial" w:cs="Arial" w:eastAsia="Arial" w:hAnsi="Arial"/>
          <w:sz w:val="13"/>
          <w:szCs w:val="13"/>
          <w:color w:val="auto"/>
        </w:rPr>
        <w:t>A CTA has been submitted for an investigator sponsored trial exploring the</w:t>
      </w:r>
      <w:r>
        <w:rPr>
          <w:rFonts w:ascii="Arial" w:cs="Arial" w:eastAsia="Arial" w:hAnsi="Arial"/>
          <w:sz w:val="13"/>
          <w:szCs w:val="13"/>
          <w:b w:val="1"/>
          <w:bCs w:val="1"/>
          <w:color w:val="auto"/>
        </w:rPr>
        <w:t xml:space="preserve"> </w:t>
      </w:r>
      <w:r>
        <w:rPr>
          <w:rFonts w:ascii="Arial" w:cs="Arial" w:eastAsia="Arial" w:hAnsi="Arial"/>
          <w:sz w:val="13"/>
          <w:szCs w:val="13"/>
          <w:color w:val="auto"/>
        </w:rPr>
        <w:t>potential of HIP modifications to allogeneic primary islet cells to enable immune evasion and overcome transplant rejection in type 1 diabetes; proof of concept data expected in 2023 and 2024.</w:t>
      </w:r>
    </w:p>
    <w:p>
      <w:pPr>
        <w:spacing w:after="0" w:line="130" w:lineRule="exact"/>
        <w:rPr>
          <w:sz w:val="20"/>
          <w:szCs w:val="20"/>
          <w:color w:val="auto"/>
        </w:rPr>
      </w:pPr>
    </w:p>
    <w:p>
      <w:pPr>
        <w:ind w:left="640" w:right="859"/>
        <w:spacing w:after="0" w:line="267" w:lineRule="auto"/>
        <w:rPr>
          <w:sz w:val="20"/>
          <w:szCs w:val="20"/>
          <w:color w:val="auto"/>
        </w:rPr>
      </w:pPr>
      <w:r>
        <w:rPr>
          <w:rFonts w:ascii="Arial" w:cs="Arial" w:eastAsia="Arial" w:hAnsi="Arial"/>
          <w:sz w:val="13"/>
          <w:szCs w:val="13"/>
          <w:b w:val="1"/>
          <w:bCs w:val="1"/>
          <w:color w:val="auto"/>
        </w:rPr>
        <w:t>SG299 (</w:t>
      </w:r>
      <w:r>
        <w:rPr>
          <w:rFonts w:ascii="Arial" w:cs="Arial" w:eastAsia="Arial" w:hAnsi="Arial"/>
          <w:sz w:val="13"/>
          <w:szCs w:val="13"/>
          <w:b w:val="1"/>
          <w:bCs w:val="1"/>
          <w:i w:val="1"/>
          <w:iCs w:val="1"/>
          <w:color w:val="auto"/>
        </w:rPr>
        <w:t>in vivo</w:t>
      </w:r>
      <w:r>
        <w:rPr>
          <w:rFonts w:ascii="Arial" w:cs="Arial" w:eastAsia="Arial" w:hAnsi="Arial"/>
          <w:sz w:val="13"/>
          <w:szCs w:val="13"/>
          <w:b w:val="1"/>
          <w:bCs w:val="1"/>
          <w:color w:val="auto"/>
        </w:rPr>
        <w:t xml:space="preserve"> CAR T with CD8-targeted fusogen delivery of a CD19-directed CAR): </w:t>
      </w:r>
      <w:r>
        <w:rPr>
          <w:rFonts w:ascii="Arial" w:cs="Arial" w:eastAsia="Arial" w:hAnsi="Arial"/>
          <w:sz w:val="13"/>
          <w:szCs w:val="13"/>
          <w:color w:val="auto"/>
        </w:rPr>
        <w:t>Sana will continue its focused research on this innovative</w:t>
      </w:r>
      <w:r>
        <w:rPr>
          <w:rFonts w:ascii="Arial" w:cs="Arial" w:eastAsia="Arial" w:hAnsi="Arial"/>
          <w:sz w:val="13"/>
          <w:szCs w:val="13"/>
          <w:b w:val="1"/>
          <w:bCs w:val="1"/>
          <w:color w:val="auto"/>
        </w:rPr>
        <w:t xml:space="preserve"> </w:t>
      </w:r>
      <w:r>
        <w:rPr>
          <w:rFonts w:ascii="Arial" w:cs="Arial" w:eastAsia="Arial" w:hAnsi="Arial"/>
          <w:sz w:val="13"/>
          <w:szCs w:val="13"/>
          <w:color w:val="auto"/>
        </w:rPr>
        <w:t>platform but not submit an IND at this time as previously planned.</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2024 Operating Burn Guidance</w:t>
      </w:r>
    </w:p>
    <w:p>
      <w:pPr>
        <w:spacing w:after="0" w:line="82" w:lineRule="exact"/>
        <w:rPr>
          <w:sz w:val="20"/>
          <w:szCs w:val="20"/>
          <w:color w:val="auto"/>
        </w:rPr>
      </w:pPr>
    </w:p>
    <w:p>
      <w:pPr>
        <w:ind w:left="640" w:right="759"/>
        <w:spacing w:after="0" w:line="276" w:lineRule="auto"/>
        <w:rPr>
          <w:sz w:val="20"/>
          <w:szCs w:val="20"/>
          <w:color w:val="auto"/>
        </w:rPr>
      </w:pPr>
      <w:r>
        <w:rPr>
          <w:rFonts w:ascii="Arial" w:cs="Arial" w:eastAsia="Arial" w:hAnsi="Arial"/>
          <w:sz w:val="12"/>
          <w:szCs w:val="12"/>
          <w:color w:val="auto"/>
        </w:rPr>
        <w:t>Sana expects 2024 operating cash burn to be below $200 million, allowing the current cash position to extend further into 2025. The strategic re-positioning will reduce headcount by approximately 29% while allowing the company to invest in clinical capabilities across multiple indications in oncology, autoimmune diseases, type 1 diabetes, and central nervous system disorders. Sana will leverage its existing allogeneic manufacturing expertise and continue development of its GMP manufacturing facility in Bothell, Washington.</w:t>
      </w:r>
    </w:p>
    <w:p>
      <w:pPr>
        <w:sectPr>
          <w:pgSz w:w="11900" w:h="16838" w:orient="portrait"/>
          <w:cols w:equalWidth="0" w:num="1">
            <w:col w:w="9019"/>
          </w:cols>
          <w:pgMar w:left="1440" w:top="235" w:right="1440" w:bottom="1440" w:gutter="0" w:footer="0" w:header="0"/>
        </w:sectPr>
      </w:pPr>
    </w:p>
    <w:bookmarkStart w:id="5" w:name="page6"/>
    <w:bookmarkEnd w:id="5"/>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Sana Biotechnology</w:t>
      </w:r>
    </w:p>
    <w:p>
      <w:pPr>
        <w:spacing w:after="0" w:line="82" w:lineRule="exact"/>
        <w:rPr>
          <w:sz w:val="20"/>
          <w:szCs w:val="20"/>
          <w:color w:val="auto"/>
        </w:rPr>
      </w:pPr>
    </w:p>
    <w:p>
      <w:pPr>
        <w:ind w:left="640" w:right="719"/>
        <w:spacing w:after="0" w:line="276" w:lineRule="auto"/>
        <w:rPr>
          <w:sz w:val="20"/>
          <w:szCs w:val="20"/>
          <w:color w:val="auto"/>
        </w:rPr>
      </w:pPr>
      <w:r>
        <w:rPr>
          <w:rFonts w:ascii="Arial" w:cs="Arial" w:eastAsia="Arial" w:hAnsi="Arial"/>
          <w:sz w:val="12"/>
          <w:szCs w:val="12"/>
          <w:color w:val="auto"/>
        </w:rPr>
        <w:t xml:space="preserve">Sana Biotechnology, Inc. is focused on creating and delivering engineered cells as medicines for patients. We share a vision of controlling genes, replacing missing or damaged cells, and making our therapies broadly available to patients. We are a passionate group of people working together to create an enduring company that changes how the world treats disease. Sana has operations in Seattle, Cambridge, South San Francisco, and Rochester. For more information about Sana Biotechnology, please visit </w:t>
      </w:r>
      <w:r>
        <w:rPr>
          <w:rFonts w:ascii="Arial" w:cs="Arial" w:eastAsia="Arial" w:hAnsi="Arial"/>
          <w:sz w:val="12"/>
          <w:szCs w:val="12"/>
          <w:u w:val="single" w:color="auto"/>
          <w:color w:val="auto"/>
        </w:rPr>
        <w:t>https://sana.com/</w:t>
      </w:r>
      <w:r>
        <w:rPr>
          <w:rFonts w:ascii="Arial" w:cs="Arial" w:eastAsia="Arial" w:hAnsi="Arial"/>
          <w:sz w:val="12"/>
          <w:szCs w:val="12"/>
          <w:color w:val="auto"/>
        </w:rPr>
        <w:t>.</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Cautionary Note Regarding Forward-Looking Statements</w:t>
      </w:r>
    </w:p>
    <w:p>
      <w:pPr>
        <w:spacing w:after="0" w:line="82" w:lineRule="exact"/>
        <w:rPr>
          <w:sz w:val="20"/>
          <w:szCs w:val="20"/>
          <w:color w:val="auto"/>
        </w:rPr>
      </w:pPr>
    </w:p>
    <w:p>
      <w:pPr>
        <w:ind w:left="640" w:right="659"/>
        <w:spacing w:after="0" w:line="290" w:lineRule="auto"/>
        <w:rPr>
          <w:sz w:val="20"/>
          <w:szCs w:val="20"/>
          <w:color w:val="auto"/>
        </w:rPr>
      </w:pPr>
      <w:r>
        <w:rPr>
          <w:rFonts w:ascii="Arial" w:cs="Arial" w:eastAsia="Arial" w:hAnsi="Arial"/>
          <w:sz w:val="11"/>
          <w:szCs w:val="11"/>
          <w:color w:val="auto"/>
        </w:rPr>
        <w:t>This press release contains forward-looking statements about Sana Biotechnology, Inc. (the “Company,” “we,” “us,” or “our”) within the meaning of the federal securities laws, including those related to the Company’s vision, progress, and business plans; expectations for its development programs, product candidates and technology platforms, including its pre-clinical, clinical and regulatory development plans and timing expectations, including with respect to the expected timing of IND submissions for the Company’s product candidates; the Company’s expectations regarding the timing, substance, and impact of the data from its clinical trials as well as the investigator sponsored trial exploring HIP-modified primarily islet cells in patients with type 1 diabetes; the potential ability of HIP-modified cells to evade immune detection and overcome allogeneic rejection; the Company’s expected 2024 operating cash burn; the potential impact of the Company’s reduction in its near-term spend on the fusogen program, including on the timing of an IND submission for the SG299 program and the Company’s forward operating burn; the Company’s expectations with respect to the potential therapeutic benefits and impact of its development programs and platforms, including in various indications; the potential of SC291 to treat autoimmune diseases; the potential impact of the portfolio update on the Company’s clinical and manufacturing capabilities; and the Company’s future plans with respect to its SG299 program. All statements other than statements of historical facts contained in this press release, including, among others, statements regarding the Company’s strategy, expectations, cash runway and future financial condition, future operations, and prospects, are forward-looking statements.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The Company has based these forward-looking statements largely on its current expectations, estimates, forecasts and projections about future events and financial trends that it believes may affect its financial condition, results of operations, business strategy and financial needs. In light of the significant uncertainties in these forward-looking statements, you should not rely upon forward-looking statements as predictions of future events. These statements are subject to risks and uncertainties that could cause the actual results to vary materially, including, among others, the risks inherent in drug development such as those associated with the initiation, cost, timing, progress and results of the Company’s current and future research and development programs, preclinical and clinical trials, as well as economic, market and social disruptions. For a detailed discussion of the risk factors that could affect the Company’s actual results, please refer to the risk factors identified in the Company’s SEC reports, including but not limited to its Quarterly Report on Form 10-Q dated August 3, 2023. Except as required by law, the Company undertakes no obligation to update publicly any forward-looking statements for any reason.</w:t>
      </w:r>
    </w:p>
    <w:p>
      <w:pPr>
        <w:sectPr>
          <w:pgSz w:w="11900" w:h="16838" w:orient="portrait"/>
          <w:cols w:equalWidth="0" w:num="1">
            <w:col w:w="9019"/>
          </w:cols>
          <w:pgMar w:left="1440" w:top="231" w:right="1440" w:bottom="1440" w:gutter="0" w:footer="0" w:header="0"/>
        </w:sectPr>
      </w:pPr>
    </w:p>
    <w:bookmarkStart w:id="6" w:name="page7"/>
    <w:bookmarkEnd w:id="6"/>
    <w:p>
      <w:pPr>
        <w:ind w:left="64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Investor Relations &amp; Media:</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Nicole Keith</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1"/>
          <w:szCs w:val="11"/>
          <w:u w:val="single" w:color="auto"/>
          <w:color w:val="auto"/>
        </w:rPr>
        <w:t>investor.relations@sana.com</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media@sana.com</w:t>
      </w:r>
    </w:p>
    <w:p>
      <w:pPr>
        <w:sectPr>
          <w:pgSz w:w="11900" w:h="16838" w:orient="portrait"/>
          <w:cols w:equalWidth="0" w:num="1">
            <w:col w:w="9019"/>
          </w:cols>
          <w:pgMar w:left="1440" w:top="231" w:right="1440"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2023-10-10T15:32:45Z</dcterms:created>
  <dcterms:modified xsi:type="dcterms:W3CDTF">2023-10-10T15:32:45Z</dcterms:modified>
</cp:coreProperties>
</file>