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34015ds8.htm"/>
      <w:bookmarkStart w:id="1" w:name="ksd134015ds8"/>
      <w:bookmarkEnd w:id="0"/>
      <w:bookmarkEnd w:id="1"/>
      <w:r>
        <w:rPr>
          <w:rFonts w:ascii="Times New Roman" w:hAnsi="Times New Roman"/>
          <w:b/>
          <w:sz w:val="20"/>
        </w:rPr>
        <w:t xml:space="preserve">As filed with the Securities and Exchange Commission on May 11,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Sana Biotechnology,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83-1381173</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188 East Blaine Street, Suite 350</w:t>
            </w:r>
          </w:p>
          <w:p>
            <w:pPr>
              <w:pStyle w:val="TableContents"/>
              <w:bidi w:val="0"/>
              <w:spacing w:before="0" w:after="20"/>
              <w:jc w:val="center"/>
              <w:rPr>
                <w:rFonts w:ascii="Times New Roman" w:hAnsi="Times New Roman"/>
                <w:b/>
                <w:sz w:val="20"/>
              </w:rPr>
            </w:pPr>
            <w:r>
              <w:rPr>
                <w:rFonts w:ascii="Times New Roman" w:hAnsi="Times New Roman"/>
                <w:b/>
                <w:sz w:val="20"/>
              </w:rPr>
              <w:t>Seattle, Washington 98102</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98102</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2021 Incentive Award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Aaron M. Grossman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Vice President, Chief Legal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Sana Biotechnology, Inc. </w:t>
      </w:r>
    </w:p>
    <w:p>
      <w:pPr>
        <w:pStyle w:val="TextBody"/>
        <w:bidi w:val="0"/>
        <w:spacing w:before="0" w:after="0"/>
        <w:jc w:val="center"/>
        <w:rPr>
          <w:rFonts w:ascii="Times New Roman" w:hAnsi="Times New Roman"/>
          <w:b/>
          <w:sz w:val="20"/>
        </w:rPr>
      </w:pPr>
      <w:r>
        <w:rPr>
          <w:rFonts w:ascii="Times New Roman" w:hAnsi="Times New Roman"/>
          <w:b/>
          <w:sz w:val="20"/>
        </w:rPr>
        <w:t xml:space="preserve">188 East Blaine Street, Suite 350 </w:t>
      </w:r>
    </w:p>
    <w:p>
      <w:pPr>
        <w:pStyle w:val="TextBody"/>
        <w:bidi w:val="0"/>
        <w:spacing w:before="0" w:after="0"/>
        <w:jc w:val="center"/>
        <w:rPr>
          <w:rFonts w:ascii="Times New Roman" w:hAnsi="Times New Roman"/>
          <w:b/>
          <w:sz w:val="20"/>
        </w:rPr>
      </w:pPr>
      <w:r>
        <w:rPr>
          <w:rFonts w:ascii="Times New Roman" w:hAnsi="Times New Roman"/>
          <w:b/>
          <w:sz w:val="20"/>
        </w:rPr>
        <w:t xml:space="preserve">Seattle, Washington 98102 </w:t>
      </w:r>
    </w:p>
    <w:p>
      <w:pPr>
        <w:pStyle w:val="TextBody"/>
        <w:bidi w:val="0"/>
        <w:spacing w:before="0" w:after="0"/>
        <w:jc w:val="center"/>
        <w:rPr>
          <w:rFonts w:ascii="Times New Roman" w:hAnsi="Times New Roman"/>
          <w:b/>
          <w:sz w:val="20"/>
        </w:rPr>
      </w:pPr>
      <w:r>
        <w:rPr>
          <w:rFonts w:ascii="Times New Roman" w:hAnsi="Times New Roman"/>
          <w:b/>
          <w:sz w:val="20"/>
        </w:rPr>
        <w:t xml:space="preserve">(206) 701-7914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Tony Jeffries </w:t>
      </w:r>
    </w:p>
    <w:p>
      <w:pPr>
        <w:pStyle w:val="TextBody"/>
        <w:bidi w:val="0"/>
        <w:spacing w:before="0" w:after="0"/>
        <w:jc w:val="center"/>
        <w:rPr>
          <w:rFonts w:ascii="Times New Roman" w:hAnsi="Times New Roman"/>
          <w:b/>
          <w:sz w:val="20"/>
        </w:rPr>
      </w:pPr>
      <w:r>
        <w:rPr>
          <w:rFonts w:ascii="Times New Roman" w:hAnsi="Times New Roman"/>
          <w:b/>
          <w:sz w:val="20"/>
        </w:rPr>
        <w:t xml:space="preserve">Jennifer Knapp </w:t>
      </w:r>
    </w:p>
    <w:p>
      <w:pPr>
        <w:pStyle w:val="TextBody"/>
        <w:bidi w:val="0"/>
        <w:spacing w:before="0" w:after="0"/>
        <w:jc w:val="center"/>
        <w:rPr>
          <w:rFonts w:ascii="Times New Roman" w:hAnsi="Times New Roman"/>
          <w:b/>
          <w:sz w:val="20"/>
        </w:rPr>
      </w:pPr>
      <w:r>
        <w:rPr>
          <w:rFonts w:ascii="Times New Roman" w:hAnsi="Times New Roman"/>
          <w:b/>
          <w:sz w:val="20"/>
        </w:rPr>
        <w:t xml:space="preserve">Phillip McGill </w:t>
      </w:r>
    </w:p>
    <w:p>
      <w:pPr>
        <w:pStyle w:val="TextBody"/>
        <w:bidi w:val="0"/>
        <w:spacing w:before="0" w:after="0"/>
        <w:jc w:val="center"/>
        <w:rPr>
          <w:rFonts w:ascii="Times New Roman" w:hAnsi="Times New Roman"/>
          <w:b/>
          <w:sz w:val="20"/>
        </w:rPr>
      </w:pPr>
      <w:r>
        <w:rPr>
          <w:rFonts w:ascii="Times New Roman" w:hAnsi="Times New Roman"/>
          <w:b/>
          <w:sz w:val="20"/>
        </w:rPr>
        <w:t xml:space="preserve">Wilson Sonsini Goodrich &amp; Rosati, Professional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650 Page Mill Road </w:t>
      </w:r>
    </w:p>
    <w:p>
      <w:pPr>
        <w:pStyle w:val="TextBody"/>
        <w:bidi w:val="0"/>
        <w:spacing w:before="0" w:after="0"/>
        <w:jc w:val="center"/>
        <w:rPr>
          <w:rFonts w:ascii="Times New Roman" w:hAnsi="Times New Roman"/>
          <w:b/>
          <w:sz w:val="20"/>
        </w:rPr>
      </w:pPr>
      <w:r>
        <w:rPr>
          <w:rFonts w:ascii="Times New Roman" w:hAnsi="Times New Roman"/>
          <w:b/>
          <w:sz w:val="20"/>
        </w:rPr>
        <w:t xml:space="preserve">Palo Alto, CA 94304 </w:t>
      </w:r>
    </w:p>
    <w:p>
      <w:pPr>
        <w:pStyle w:val="TextBody"/>
        <w:bidi w:val="0"/>
        <w:spacing w:before="0" w:after="0"/>
        <w:jc w:val="center"/>
        <w:rPr>
          <w:rFonts w:ascii="Times New Roman" w:hAnsi="Times New Roman"/>
          <w:b/>
          <w:sz w:val="20"/>
        </w:rPr>
      </w:pPr>
      <w:r>
        <w:rPr>
          <w:rFonts w:ascii="Times New Roman" w:hAnsi="Times New Roman"/>
          <w:b/>
          <w:sz w:val="20"/>
        </w:rPr>
        <w:t xml:space="preserve">(650) 493-9300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pPr>
      <w:r>
        <w:rPr>
          <w:rFonts w:ascii="Times New Roman" w:hAnsi="Times New Roman"/>
          <w:sz w:val="20"/>
        </w:rPr>
        <w:t>Sana Biotechnology, Inc. (the “</w:t>
      </w:r>
      <w:r>
        <w:rPr>
          <w:rFonts w:ascii="Times New Roman" w:hAnsi="Times New Roman"/>
          <w:b/>
          <w:i/>
          <w:sz w:val="20"/>
        </w:rPr>
        <w:t>Registrant</w:t>
      </w:r>
      <w:r>
        <w:rPr>
          <w:rFonts w:ascii="Times New Roman" w:hAnsi="Times New Roman"/>
          <w:sz w:val="20"/>
        </w:rPr>
        <w:t>”) is filing this Registration Statement on Form S-8 (this “</w:t>
      </w:r>
      <w:r>
        <w:rPr>
          <w:rFonts w:ascii="Times New Roman" w:hAnsi="Times New Roman"/>
          <w:b/>
          <w:i/>
          <w:sz w:val="20"/>
        </w:rPr>
        <w:t>Registration Statement</w:t>
      </w:r>
      <w:r>
        <w:rPr>
          <w:rFonts w:ascii="Times New Roman" w:hAnsi="Times New Roman"/>
          <w:sz w:val="20"/>
        </w:rPr>
        <w:t>”) for the purpose of registering an additional 13,336,582 shares of common stock under the Registrant’s 2021 Incentive Award Plan, as amended (the “</w:t>
      </w:r>
      <w:r>
        <w:rPr>
          <w:rFonts w:ascii="Times New Roman" w:hAnsi="Times New Roman"/>
          <w:b/>
          <w:i/>
          <w:sz w:val="20"/>
        </w:rPr>
        <w:t>2021 Plan</w:t>
      </w:r>
      <w:r>
        <w:rPr>
          <w:rFonts w:ascii="Times New Roman" w:hAnsi="Times New Roman"/>
          <w:sz w:val="20"/>
        </w:rPr>
        <w:t xml:space="preserve">”), for which registration statements of the Registrant on Form S-8 (File Nos. </w:t>
      </w:r>
      <w:hyperlink r:id="rId2">
        <w:r>
          <w:rPr>
            <w:rStyle w:val="InternetLink"/>
            <w:rFonts w:ascii="Times New Roman" w:hAnsi="Times New Roman"/>
            <w:sz w:val="20"/>
          </w:rPr>
          <w:t>333-287088</w:t>
        </w:r>
      </w:hyperlink>
      <w:r>
        <w:rPr>
          <w:rFonts w:ascii="Times New Roman" w:hAnsi="Times New Roman"/>
          <w:sz w:val="20"/>
        </w:rPr>
        <w:t xml:space="preserve">, </w:t>
      </w:r>
      <w:hyperlink r:id="rId3">
        <w:r>
          <w:rPr>
            <w:rStyle w:val="InternetLink"/>
            <w:rFonts w:ascii="Times New Roman" w:hAnsi="Times New Roman"/>
            <w:sz w:val="20"/>
          </w:rPr>
          <w:t>333-279219</w:t>
        </w:r>
      </w:hyperlink>
      <w:r>
        <w:rPr>
          <w:rFonts w:ascii="Times New Roman" w:hAnsi="Times New Roman"/>
          <w:sz w:val="20"/>
        </w:rPr>
        <w:t xml:space="preserve">, </w:t>
      </w:r>
      <w:hyperlink r:id="rId4">
        <w:r>
          <w:rPr>
            <w:rStyle w:val="InternetLink"/>
            <w:rFonts w:ascii="Times New Roman" w:hAnsi="Times New Roman"/>
            <w:sz w:val="20"/>
          </w:rPr>
          <w:t>333-271728</w:t>
        </w:r>
      </w:hyperlink>
      <w:r>
        <w:rPr>
          <w:rFonts w:ascii="Times New Roman" w:hAnsi="Times New Roman"/>
          <w:sz w:val="20"/>
        </w:rPr>
        <w:t xml:space="preserve">, </w:t>
      </w:r>
      <w:hyperlink r:id="rId5">
        <w:r>
          <w:rPr>
            <w:rStyle w:val="InternetLink"/>
            <w:rFonts w:ascii="Times New Roman" w:hAnsi="Times New Roman"/>
            <w:sz w:val="20"/>
          </w:rPr>
          <w:t>333-264846</w:t>
        </w:r>
      </w:hyperlink>
      <w:r>
        <w:rPr>
          <w:rFonts w:ascii="Times New Roman" w:hAnsi="Times New Roman"/>
          <w:sz w:val="20"/>
        </w:rPr>
        <w:t xml:space="preserve">, and </w:t>
      </w:r>
      <w:hyperlink r:id="rId6">
        <w:r>
          <w:rPr>
            <w:rStyle w:val="InternetLink"/>
            <w:rFonts w:ascii="Times New Roman" w:hAnsi="Times New Roman"/>
            <w:sz w:val="20"/>
          </w:rPr>
          <w:t>333-252862</w:t>
        </w:r>
      </w:hyperlink>
      <w:r>
        <w:rPr>
          <w:rFonts w:ascii="Times New Roman" w:hAnsi="Times New Roman"/>
          <w:sz w:val="20"/>
        </w:rPr>
        <w:t>) are effective (the “</w:t>
      </w:r>
      <w:r>
        <w:rPr>
          <w:rFonts w:ascii="Times New Roman" w:hAnsi="Times New Roman"/>
          <w:b/>
          <w:i/>
          <w:sz w:val="20"/>
        </w:rPr>
        <w:t>Prior Registration Statements</w:t>
      </w:r>
      <w:r>
        <w:rPr>
          <w:rFonts w:ascii="Times New Roman" w:hAnsi="Times New Roman"/>
          <w:sz w:val="20"/>
        </w:rPr>
        <w:t xml:space="preserve">”), pursuant to the provisions of the 2021 Plan that provide for an automatic annual increase in the number of shares of common stock reserved for issuance thereunder. This Registration Statement relates to securities of the same class as those to which the Prior Registration Statements relate and is submitted in accordance with General Instruction E to Form S-8 regarding Registration of Additional Securities. Pursuant to General Instruction E to Form S-8, the contents of the Prior Registration Statements are incorporated herein by reference and made part of this Registration Statement, except as amended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bidi w:val="0"/>
        <w:spacing w:before="120" w:after="0"/>
        <w:jc w:val="left"/>
        <w:rPr>
          <w:rFonts w:ascii="Times New Roman" w:hAnsi="Times New Roman"/>
          <w:sz w:val="20"/>
        </w:rPr>
      </w:pPr>
      <w:r>
        <w:rPr>
          <w:rFonts w:ascii="Times New Roman" w:hAnsi="Times New Roman"/>
          <w:sz w:val="20"/>
        </w:rPr>
        <w:t>The Registrant hereby incorporates by reference into this Registration Statement the following documents filed by it with the Securities and Exchange Commission (the “</w:t>
      </w:r>
      <w:r>
        <w:rPr>
          <w:rFonts w:ascii="Times New Roman" w:hAnsi="Times New Roman"/>
          <w:b/>
          <w:i/>
          <w:sz w:val="20"/>
        </w:rPr>
        <w:t>SEC</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the Registrant’s Annual Report on </w:t>
            </w:r>
            <w:hyperlink r:id="rId7">
              <w:r>
                <w:rPr>
                  <w:rStyle w:val="InternetLink"/>
                  <w:rFonts w:ascii="Times New Roman" w:hAnsi="Times New Roman"/>
                  <w:sz w:val="20"/>
                </w:rPr>
                <w:t>Form 10-K</w:t>
              </w:r>
            </w:hyperlink>
            <w:r>
              <w:rPr>
                <w:rFonts w:ascii="Times New Roman" w:hAnsi="Times New Roman"/>
                <w:sz w:val="20"/>
              </w:rPr>
              <w:t xml:space="preserve"> (File No. 001-39941) for the fiscal year ended December 31, 2025, filed with the SEC on March 3, 2026 (the “</w:t>
            </w:r>
            <w:r>
              <w:rPr>
                <w:rFonts w:ascii="Times New Roman" w:hAnsi="Times New Roman"/>
                <w:b/>
                <w:i/>
                <w:sz w:val="20"/>
              </w:rPr>
              <w:t>Annual Report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all other reports filed pursuant to Section 13(a) or 15(d) of the Securities Exchange Act of 1934, as amended (the “</w:t>
            </w:r>
            <w:r>
              <w:rPr>
                <w:rFonts w:ascii="Times New Roman" w:hAnsi="Times New Roman"/>
                <w:b/>
                <w:i/>
                <w:sz w:val="20"/>
              </w:rPr>
              <w:t>Exchange Act</w:t>
            </w:r>
            <w:r>
              <w:rPr>
                <w:rFonts w:ascii="Times New Roman" w:hAnsi="Times New Roman"/>
                <w:sz w:val="20"/>
              </w:rPr>
              <w:t xml:space="preserve">”), since the end of the fiscal year covered by the Annual Report (other than the portions of these documents not deemed to be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pPr>
            <w:r>
              <w:rPr>
                <w:rFonts w:ascii="Times New Roman" w:hAnsi="Times New Roman"/>
                <w:sz w:val="20"/>
              </w:rPr>
              <w:t xml:space="preserve">the description of the Registrant’s common stock contained in the Registrant’s Registration Statement on </w:t>
            </w:r>
            <w:hyperlink r:id="rId8">
              <w:r>
                <w:rPr>
                  <w:rStyle w:val="InternetLink"/>
                  <w:rFonts w:ascii="Times New Roman" w:hAnsi="Times New Roman"/>
                  <w:sz w:val="20"/>
                </w:rPr>
                <w:t>Form 8-A</w:t>
              </w:r>
            </w:hyperlink>
            <w:r>
              <w:rPr>
                <w:rFonts w:ascii="Times New Roman" w:hAnsi="Times New Roman"/>
                <w:sz w:val="20"/>
              </w:rPr>
              <w:t xml:space="preserve"> (File No. 001-39941) filed with the Commission on January 25, 2021, pursuant to Section  12(b) of the Exchange Act, as updated and superseded by the description of the Registrant’s common stock contained in </w:t>
            </w:r>
            <w:hyperlink r:id="rId9">
              <w:r>
                <w:rPr>
                  <w:rStyle w:val="InternetLink"/>
                  <w:rFonts w:ascii="Times New Roman" w:hAnsi="Times New Roman"/>
                  <w:sz w:val="20"/>
                </w:rPr>
                <w:t>Exhibit 4.3</w:t>
              </w:r>
            </w:hyperlink>
            <w:r>
              <w:rPr>
                <w:rFonts w:ascii="Times New Roman" w:hAnsi="Times New Roman"/>
                <w:sz w:val="20"/>
              </w:rPr>
              <w:t xml:space="preserve"> to the Annual Report,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Sections 13(a), 13(c), 14, or 15(d) of the Exchange Act (other than Current Reports furnished under Item 2.02 or Item 7.01 of Form 8-K and exhibits furnished on such Current Report that relate to such items) subsequent to the filing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8.</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exhibits to this Registration Statement are listed below and are incorporated herein by reference.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0"/>
        <w:gridCol w:w="120"/>
        <w:gridCol w:w="3433"/>
        <w:gridCol w:w="102"/>
        <w:gridCol w:w="1291"/>
        <w:gridCol w:w="102"/>
        <w:gridCol w:w="1657"/>
        <w:gridCol w:w="102"/>
        <w:gridCol w:w="922"/>
        <w:gridCol w:w="102"/>
        <w:gridCol w:w="1604"/>
      </w:tblGrid>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3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3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5780"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Incorporated by Reference</w:t>
            </w:r>
          </w:p>
        </w:tc>
      </w:tr>
      <w:tr>
        <w:trPr/>
        <w:tc>
          <w:tcPr>
            <w:tcW w:w="77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bottom"/>
          </w:tcPr>
          <w:p>
            <w:pPr>
              <w:pStyle w:val="TableContents"/>
              <w:bidi w:val="0"/>
              <w:spacing w:before="0" w:after="283"/>
              <w:jc w:val="left"/>
              <w:rPr/>
            </w:pPr>
            <w:r>
              <w:rPr/>
              <w:t>  </w:t>
            </w:r>
          </w:p>
        </w:tc>
        <w:tc>
          <w:tcPr>
            <w:tcW w:w="34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02" w:type="dxa"/>
            <w:tcBorders/>
            <w:vAlign w:val="bottom"/>
          </w:tcPr>
          <w:p>
            <w:pPr>
              <w:pStyle w:val="TableContents"/>
              <w:bidi w:val="0"/>
              <w:spacing w:before="0" w:after="283"/>
              <w:jc w:val="left"/>
              <w:rPr/>
            </w:pPr>
            <w:r>
              <w:rPr/>
              <w:t> </w:t>
            </w:r>
          </w:p>
        </w:tc>
        <w:tc>
          <w:tcPr>
            <w:tcW w:w="129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Schedule</w:t>
            </w:r>
          </w:p>
          <w:p>
            <w:pPr>
              <w:pStyle w:val="TableContents"/>
              <w:bidi w:val="0"/>
              <w:spacing w:before="0" w:after="20"/>
              <w:jc w:val="center"/>
              <w:rPr>
                <w:rFonts w:ascii="Times New Roman" w:hAnsi="Times New Roman"/>
                <w:b/>
                <w:sz w:val="16"/>
              </w:rPr>
            </w:pPr>
            <w:r>
              <w:rPr>
                <w:rFonts w:ascii="Times New Roman" w:hAnsi="Times New Roman"/>
                <w:b/>
                <w:sz w:val="16"/>
              </w:rPr>
              <w:t>Form</w:t>
            </w:r>
          </w:p>
        </w:tc>
        <w:tc>
          <w:tcPr>
            <w:tcW w:w="102" w:type="dxa"/>
            <w:tcBorders/>
            <w:vAlign w:val="bottom"/>
          </w:tcPr>
          <w:p>
            <w:pPr>
              <w:pStyle w:val="TableContents"/>
              <w:bidi w:val="0"/>
              <w:spacing w:before="0" w:after="283"/>
              <w:jc w:val="left"/>
              <w:rPr/>
            </w:pPr>
            <w:r>
              <w:rPr/>
              <w:t> </w:t>
            </w:r>
          </w:p>
        </w:tc>
        <w:tc>
          <w:tcPr>
            <w:tcW w:w="16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2" w:type="dxa"/>
            <w:tcBorders/>
            <w:vAlign w:val="bottom"/>
          </w:tcPr>
          <w:p>
            <w:pPr>
              <w:pStyle w:val="TableContents"/>
              <w:bidi w:val="0"/>
              <w:spacing w:before="0" w:after="283"/>
              <w:jc w:val="left"/>
              <w:rPr/>
            </w:pPr>
            <w:r>
              <w:rPr/>
              <w:t> </w:t>
            </w:r>
          </w:p>
        </w:tc>
        <w:tc>
          <w:tcPr>
            <w:tcW w:w="9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w:t>
            </w:r>
          </w:p>
        </w:tc>
        <w:tc>
          <w:tcPr>
            <w:tcW w:w="102" w:type="dxa"/>
            <w:tcBorders/>
            <w:vAlign w:val="bottom"/>
          </w:tcPr>
          <w:p>
            <w:pPr>
              <w:pStyle w:val="TableContents"/>
              <w:bidi w:val="0"/>
              <w:spacing w:before="0" w:after="283"/>
              <w:jc w:val="left"/>
              <w:rPr/>
            </w:pPr>
            <w:r>
              <w:rPr/>
              <w:t> </w:t>
            </w:r>
          </w:p>
        </w:tc>
        <w:tc>
          <w:tcPr>
            <w:tcW w:w="16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r:id="rId10">
              <w:r>
                <w:rPr>
                  <w:rStyle w:val="InternetLink"/>
                </w:rPr>
                <w:t xml:space="preserve">Form of Common Stock Certificate.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S-1/A</w:t>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333-252061</w:t>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4.2</w:t>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January 28, 2021</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w:anchor="d134015dex51.htm">
              <w:r>
                <w:rPr>
                  <w:rStyle w:val="InternetLink"/>
                </w:rPr>
                <w:t xml:space="preserve">Opinion of Wilson Sonsini Goodrich &amp; Rosati, Professional Corporation.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23.1*</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w:anchor="d134015dex51.htm">
              <w:r>
                <w:rPr>
                  <w:rStyle w:val="InternetLink"/>
                </w:rPr>
                <w:t xml:space="preserve">Consent of Wilson Sonsini Goodrich &amp; Rosati, Professional Corporation (included in Exhibit 5.1).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23.2*</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w:anchor="d134015dex232.htm">
              <w:r>
                <w:rPr>
                  <w:rStyle w:val="InternetLink"/>
                </w:rPr>
                <w:t xml:space="preserve">Consent of Independent Registered Public Accounting Firm.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24.1*</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w:anchor="sig">
              <w:r>
                <w:rPr>
                  <w:rStyle w:val="InternetLink"/>
                </w:rPr>
                <w:t xml:space="preserve">Power of Attorney (included on the signature page of this Registration Statement).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99.1(a)</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r:id="rId11">
              <w:r>
                <w:rPr>
                  <w:rStyle w:val="InternetLink"/>
                </w:rPr>
                <w:t xml:space="preserve">2021 Incentive Award Plan.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S-8</w:t>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333-279219</w:t>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99.1(a)</w:t>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May 8, 2024</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99.1(b)</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r:id="rId12">
              <w:r>
                <w:rPr>
                  <w:rStyle w:val="InternetLink"/>
                </w:rPr>
                <w:t xml:space="preserve">First Amendment to 2021 Incentive Award Plan, dated as of December 8, 2021.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10-K</w:t>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001-39941</w:t>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10.4(b)</w:t>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March 16, 2022</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99.1(c)</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r:id="rId13">
              <w:r>
                <w:rPr>
                  <w:rStyle w:val="InternetLink"/>
                </w:rPr>
                <w:t>Form of Stock Option Grant Notice and Stock Option Agreement under the 2021 Incentive Award Plan.</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S-1/A</w:t>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333-252061</w:t>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10.4(b)</w:t>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January 28, 2021</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99.1(d)</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r:id="rId14">
              <w:r>
                <w:rPr>
                  <w:rStyle w:val="InternetLink"/>
                </w:rPr>
                <w:t xml:space="preserve">Form of Stock Option Grant Notice and Stock Option Agreement under the 2021 Incentive Award Plan.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10-K</w:t>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001-39941</w:t>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10.4(d)</w:t>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March 16, 2022</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99.1(e)</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r:id="rId15">
              <w:r>
                <w:rPr>
                  <w:rStyle w:val="InternetLink"/>
                </w:rPr>
                <w:t xml:space="preserve">Form of Restricted Stock Award Grant Notice and Restricted Stock Award Agreement under the 2021 Incentive Award Plan.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S-1/A</w:t>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333-252061</w:t>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10.4(c)</w:t>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January 28, 2021</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99.1(f)</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r:id="rId16">
              <w:r>
                <w:rPr>
                  <w:rStyle w:val="InternetLink"/>
                </w:rPr>
                <w:t xml:space="preserve">Form of Restricted Stock Unit Award Grant Notice and Restricted Stock Unit Award Agreement under the 2021 Incentive Award Plan.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S-1/A</w:t>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333-252061</w:t>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10.4(d)</w:t>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January 28, 2021</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3553" w:type="dxa"/>
            <w:gridSpan w:val="2"/>
            <w:tcBorders/>
            <w:vAlign w:val="center"/>
          </w:tcPr>
          <w:p>
            <w:pPr>
              <w:pStyle w:val="TableContents"/>
              <w:bidi w:val="0"/>
              <w:spacing w:before="0" w:after="283"/>
              <w:jc w:val="left"/>
              <w:rPr>
                <w:sz w:val="4"/>
                <w:szCs w:val="4"/>
              </w:rPr>
            </w:pPr>
            <w:r>
              <w:rPr>
                <w:sz w:val="4"/>
                <w:szCs w:val="4"/>
              </w:rPr>
            </w:r>
          </w:p>
        </w:tc>
        <w:tc>
          <w:tcPr>
            <w:tcW w:w="1393" w:type="dxa"/>
            <w:gridSpan w:val="2"/>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1706"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0"/>
              <w:jc w:val="left"/>
              <w:rPr>
                <w:rFonts w:ascii="Times New Roman" w:hAnsi="Times New Roman"/>
                <w:sz w:val="20"/>
              </w:rPr>
            </w:pPr>
            <w:r>
              <w:rPr>
                <w:rFonts w:ascii="Times New Roman" w:hAnsi="Times New Roman"/>
                <w:sz w:val="20"/>
              </w:rPr>
              <w:t>107.1*</w:t>
            </w:r>
          </w:p>
        </w:tc>
        <w:tc>
          <w:tcPr>
            <w:tcW w:w="120" w:type="dxa"/>
            <w:tcBorders/>
            <w:vAlign w:val="bottom"/>
          </w:tcPr>
          <w:p>
            <w:pPr>
              <w:pStyle w:val="TableContents"/>
              <w:bidi w:val="0"/>
              <w:spacing w:before="0" w:after="283"/>
              <w:jc w:val="left"/>
              <w:rPr/>
            </w:pPr>
            <w:r>
              <w:rPr/>
              <w:t>  </w:t>
            </w:r>
          </w:p>
        </w:tc>
        <w:tc>
          <w:tcPr>
            <w:tcW w:w="3433" w:type="dxa"/>
            <w:tcBorders/>
          </w:tcPr>
          <w:p>
            <w:pPr>
              <w:pStyle w:val="TableContents"/>
              <w:bidi w:val="0"/>
              <w:spacing w:before="0" w:after="283"/>
              <w:jc w:val="left"/>
              <w:rPr/>
            </w:pPr>
            <w:hyperlink w:anchor="d134015dexfilingfees.htm">
              <w:r>
                <w:rPr>
                  <w:rStyle w:val="InternetLink"/>
                </w:rPr>
                <w:t xml:space="preserve">Filing Fee Table. </w:t>
              </w:r>
            </w:hyperlink>
          </w:p>
        </w:tc>
        <w:tc>
          <w:tcPr>
            <w:tcW w:w="102"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May 11,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SANA BIOTECHNOLOGY,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D. Harr, M.D.</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Steven D. Harr, M.D.</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President and Chief Executive Officer</w:t>
            </w:r>
          </w:p>
        </w:tc>
      </w:tr>
    </w:tbl>
    <w:p>
      <w:pPr>
        <w:pStyle w:val="TextBody"/>
        <w:bidi w:val="0"/>
        <w:spacing w:before="48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Steven D. Harr, M.D. and Brian Piper,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39"/>
        <w:gridCol w:w="120"/>
        <w:gridCol w:w="4439"/>
        <w:gridCol w:w="107"/>
        <w:gridCol w:w="1700"/>
      </w:tblGrid>
      <w:tr>
        <w:trPr/>
        <w:tc>
          <w:tcPr>
            <w:tcW w:w="38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3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3839"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4439" w:type="dxa"/>
            <w:tcBorders/>
            <w:vAlign w:val="bottom"/>
          </w:tcPr>
          <w:p>
            <w:pPr>
              <w:pStyle w:val="TableContents"/>
              <w:bidi w:val="0"/>
              <w:spacing w:before="0" w:after="283"/>
              <w:jc w:val="center"/>
              <w:rPr>
                <w:b/>
              </w:rPr>
            </w:pPr>
            <w:r>
              <w:rPr>
                <w:b/>
              </w:rPr>
              <w:t>Title</w:t>
            </w:r>
          </w:p>
        </w:tc>
        <w:tc>
          <w:tcPr>
            <w:tcW w:w="107"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b/>
              </w:rPr>
            </w:pPr>
            <w:r>
              <w:rPr>
                <w:b/>
              </w:rPr>
              <w:t>Date</w:t>
            </w:r>
          </w:p>
        </w:tc>
      </w:tr>
      <w:tr>
        <w:trPr>
          <w:trHeight w:val="240" w:hRule="atLeast"/>
        </w:trPr>
        <w:tc>
          <w:tcPr>
            <w:tcW w:w="3839" w:type="dxa"/>
            <w:tcBorders/>
            <w:vAlign w:val="center"/>
          </w:tcPr>
          <w:p>
            <w:pPr>
              <w:pStyle w:val="TableContents"/>
              <w:bidi w:val="0"/>
              <w:spacing w:before="0" w:after="283"/>
              <w:jc w:val="left"/>
              <w:rPr>
                <w:sz w:val="4"/>
                <w:szCs w:val="4"/>
              </w:rPr>
            </w:pPr>
            <w:r>
              <w:rPr>
                <w:sz w:val="4"/>
                <w:szCs w:val="4"/>
              </w:rPr>
            </w:r>
          </w:p>
        </w:tc>
        <w:tc>
          <w:tcPr>
            <w:tcW w:w="4559" w:type="dxa"/>
            <w:gridSpan w:val="2"/>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r>
      <w:tr>
        <w:trPr/>
        <w:tc>
          <w:tcPr>
            <w:tcW w:w="383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Steven D. Harr, M.D.</w:t>
            </w:r>
          </w:p>
          <w:p>
            <w:pPr>
              <w:pStyle w:val="TableContents"/>
              <w:bidi w:val="0"/>
              <w:spacing w:before="0" w:after="20"/>
              <w:jc w:val="center"/>
              <w:rPr>
                <w:rFonts w:ascii="Times New Roman" w:hAnsi="Times New Roman"/>
                <w:sz w:val="20"/>
              </w:rPr>
            </w:pPr>
            <w:r>
              <w:rPr>
                <w:rFonts w:ascii="Times New Roman" w:hAnsi="Times New Roman"/>
                <w:sz w:val="20"/>
              </w:rPr>
              <w:t>Steven D. Harr, M.D.</w:t>
            </w:r>
          </w:p>
        </w:tc>
        <w:tc>
          <w:tcPr>
            <w:tcW w:w="120" w:type="dxa"/>
            <w:tcBorders/>
            <w:vAlign w:val="bottom"/>
          </w:tcPr>
          <w:p>
            <w:pPr>
              <w:pStyle w:val="TableContents"/>
              <w:bidi w:val="0"/>
              <w:spacing w:before="0" w:after="283"/>
              <w:jc w:val="left"/>
              <w:rPr/>
            </w:pPr>
            <w:r>
              <w:rPr/>
              <w:t>  </w:t>
            </w:r>
          </w:p>
        </w:tc>
        <w:tc>
          <w:tcPr>
            <w:tcW w:w="4439" w:type="dxa"/>
            <w:tcBorders/>
          </w:tcPr>
          <w:p>
            <w:pPr>
              <w:pStyle w:val="TableContents"/>
              <w:bidi w:val="0"/>
              <w:spacing w:before="0" w:after="283"/>
              <w:jc w:val="center"/>
              <w:rPr/>
            </w:pPr>
            <w:r>
              <w:rPr/>
              <w:t>President, Chief Executive Officer, and Director (Principal Executive Officer)</w:t>
            </w:r>
          </w:p>
        </w:tc>
        <w:tc>
          <w:tcPr>
            <w:tcW w:w="107"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pPr>
            <w:r>
              <w:rPr/>
              <w:t>May 11, 2026</w:t>
            </w:r>
          </w:p>
        </w:tc>
      </w:tr>
      <w:tr>
        <w:trPr>
          <w:trHeight w:val="240" w:hRule="atLeast"/>
        </w:trPr>
        <w:tc>
          <w:tcPr>
            <w:tcW w:w="3839" w:type="dxa"/>
            <w:tcBorders/>
            <w:vAlign w:val="center"/>
          </w:tcPr>
          <w:p>
            <w:pPr>
              <w:pStyle w:val="TableContents"/>
              <w:bidi w:val="0"/>
              <w:spacing w:before="0" w:after="283"/>
              <w:jc w:val="left"/>
              <w:rPr>
                <w:sz w:val="4"/>
                <w:szCs w:val="4"/>
              </w:rPr>
            </w:pPr>
            <w:r>
              <w:rPr>
                <w:sz w:val="4"/>
                <w:szCs w:val="4"/>
              </w:rPr>
            </w:r>
          </w:p>
        </w:tc>
        <w:tc>
          <w:tcPr>
            <w:tcW w:w="4559" w:type="dxa"/>
            <w:gridSpan w:val="2"/>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r>
      <w:tr>
        <w:trPr/>
        <w:tc>
          <w:tcPr>
            <w:tcW w:w="383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Brian Piper</w:t>
            </w:r>
          </w:p>
          <w:p>
            <w:pPr>
              <w:pStyle w:val="TableContents"/>
              <w:bidi w:val="0"/>
              <w:spacing w:before="0" w:after="20"/>
              <w:jc w:val="center"/>
              <w:rPr>
                <w:rFonts w:ascii="Times New Roman" w:hAnsi="Times New Roman"/>
                <w:sz w:val="20"/>
              </w:rPr>
            </w:pPr>
            <w:r>
              <w:rPr>
                <w:rFonts w:ascii="Times New Roman" w:hAnsi="Times New Roman"/>
                <w:sz w:val="20"/>
              </w:rPr>
              <w:t>Brian Piper</w:t>
            </w:r>
          </w:p>
        </w:tc>
        <w:tc>
          <w:tcPr>
            <w:tcW w:w="120" w:type="dxa"/>
            <w:tcBorders/>
            <w:vAlign w:val="bottom"/>
          </w:tcPr>
          <w:p>
            <w:pPr>
              <w:pStyle w:val="TableContents"/>
              <w:bidi w:val="0"/>
              <w:spacing w:before="0" w:after="283"/>
              <w:jc w:val="left"/>
              <w:rPr/>
            </w:pPr>
            <w:r>
              <w:rPr/>
              <w:t>  </w:t>
            </w:r>
          </w:p>
        </w:tc>
        <w:tc>
          <w:tcPr>
            <w:tcW w:w="4439" w:type="dxa"/>
            <w:tcBorders/>
          </w:tcPr>
          <w:p>
            <w:pPr>
              <w:pStyle w:val="TableContents"/>
              <w:bidi w:val="0"/>
              <w:spacing w:before="0" w:after="283"/>
              <w:jc w:val="center"/>
              <w:rPr/>
            </w:pPr>
            <w:r>
              <w:rPr/>
              <w:t>Executive Vice President, Chief Financial Officer (Principal Financial Officer)</w:t>
            </w:r>
          </w:p>
        </w:tc>
        <w:tc>
          <w:tcPr>
            <w:tcW w:w="107"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pPr>
            <w:r>
              <w:rPr/>
              <w:t>May 11, 2026</w:t>
            </w:r>
          </w:p>
        </w:tc>
      </w:tr>
      <w:tr>
        <w:trPr>
          <w:trHeight w:val="240" w:hRule="atLeast"/>
        </w:trPr>
        <w:tc>
          <w:tcPr>
            <w:tcW w:w="3839" w:type="dxa"/>
            <w:tcBorders/>
            <w:vAlign w:val="center"/>
          </w:tcPr>
          <w:p>
            <w:pPr>
              <w:pStyle w:val="TableContents"/>
              <w:bidi w:val="0"/>
              <w:spacing w:before="0" w:after="283"/>
              <w:jc w:val="left"/>
              <w:rPr>
                <w:sz w:val="4"/>
                <w:szCs w:val="4"/>
              </w:rPr>
            </w:pPr>
            <w:r>
              <w:rPr>
                <w:sz w:val="4"/>
                <w:szCs w:val="4"/>
              </w:rPr>
            </w:r>
          </w:p>
        </w:tc>
        <w:tc>
          <w:tcPr>
            <w:tcW w:w="4559" w:type="dxa"/>
            <w:gridSpan w:val="2"/>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r>
      <w:tr>
        <w:trPr/>
        <w:tc>
          <w:tcPr>
            <w:tcW w:w="383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Susan D. Wyrick</w:t>
            </w:r>
          </w:p>
          <w:p>
            <w:pPr>
              <w:pStyle w:val="TableContents"/>
              <w:bidi w:val="0"/>
              <w:spacing w:before="0" w:after="20"/>
              <w:jc w:val="center"/>
              <w:rPr>
                <w:rFonts w:ascii="Times New Roman" w:hAnsi="Times New Roman"/>
                <w:sz w:val="20"/>
              </w:rPr>
            </w:pPr>
            <w:r>
              <w:rPr>
                <w:rFonts w:ascii="Times New Roman" w:hAnsi="Times New Roman"/>
                <w:sz w:val="20"/>
              </w:rPr>
              <w:t>Susan D. Wyrick</w:t>
            </w:r>
          </w:p>
        </w:tc>
        <w:tc>
          <w:tcPr>
            <w:tcW w:w="120" w:type="dxa"/>
            <w:tcBorders/>
            <w:vAlign w:val="bottom"/>
          </w:tcPr>
          <w:p>
            <w:pPr>
              <w:pStyle w:val="TableContents"/>
              <w:bidi w:val="0"/>
              <w:spacing w:before="0" w:after="283"/>
              <w:jc w:val="left"/>
              <w:rPr/>
            </w:pPr>
            <w:r>
              <w:rPr/>
              <w:t>  </w:t>
            </w:r>
          </w:p>
        </w:tc>
        <w:tc>
          <w:tcPr>
            <w:tcW w:w="4439" w:type="dxa"/>
            <w:tcBorders/>
          </w:tcPr>
          <w:p>
            <w:pPr>
              <w:pStyle w:val="TableContents"/>
              <w:bidi w:val="0"/>
              <w:spacing w:before="0" w:after="283"/>
              <w:jc w:val="center"/>
              <w:rPr/>
            </w:pPr>
            <w:r>
              <w:rPr/>
              <w:t>Senior Vice President, Finance and Accounting (Principal Accounting Officer)</w:t>
            </w:r>
          </w:p>
        </w:tc>
        <w:tc>
          <w:tcPr>
            <w:tcW w:w="107"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pPr>
            <w:r>
              <w:rPr/>
              <w:t>May 11, 2026</w:t>
            </w:r>
          </w:p>
        </w:tc>
      </w:tr>
      <w:tr>
        <w:trPr>
          <w:trHeight w:val="240" w:hRule="atLeast"/>
        </w:trPr>
        <w:tc>
          <w:tcPr>
            <w:tcW w:w="3839" w:type="dxa"/>
            <w:tcBorders/>
            <w:vAlign w:val="center"/>
          </w:tcPr>
          <w:p>
            <w:pPr>
              <w:pStyle w:val="TableContents"/>
              <w:bidi w:val="0"/>
              <w:spacing w:before="0" w:after="283"/>
              <w:jc w:val="left"/>
              <w:rPr>
                <w:sz w:val="4"/>
                <w:szCs w:val="4"/>
              </w:rPr>
            </w:pPr>
            <w:r>
              <w:rPr>
                <w:sz w:val="4"/>
                <w:szCs w:val="4"/>
              </w:rPr>
            </w:r>
          </w:p>
        </w:tc>
        <w:tc>
          <w:tcPr>
            <w:tcW w:w="4559" w:type="dxa"/>
            <w:gridSpan w:val="2"/>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r>
      <w:tr>
        <w:trPr/>
        <w:tc>
          <w:tcPr>
            <w:tcW w:w="383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Hans E. Bishop</w:t>
            </w:r>
          </w:p>
          <w:p>
            <w:pPr>
              <w:pStyle w:val="TableContents"/>
              <w:bidi w:val="0"/>
              <w:spacing w:before="0" w:after="20"/>
              <w:jc w:val="center"/>
              <w:rPr>
                <w:rFonts w:ascii="Times New Roman" w:hAnsi="Times New Roman"/>
                <w:sz w:val="20"/>
              </w:rPr>
            </w:pPr>
            <w:r>
              <w:rPr>
                <w:rFonts w:ascii="Times New Roman" w:hAnsi="Times New Roman"/>
                <w:sz w:val="20"/>
              </w:rPr>
              <w:t>Hans E. Bishop</w:t>
            </w:r>
          </w:p>
        </w:tc>
        <w:tc>
          <w:tcPr>
            <w:tcW w:w="120" w:type="dxa"/>
            <w:tcBorders/>
            <w:vAlign w:val="bottom"/>
          </w:tcPr>
          <w:p>
            <w:pPr>
              <w:pStyle w:val="TableContents"/>
              <w:bidi w:val="0"/>
              <w:spacing w:before="0" w:after="283"/>
              <w:jc w:val="left"/>
              <w:rPr/>
            </w:pPr>
            <w:r>
              <w:rPr/>
              <w:t>  </w:t>
            </w:r>
          </w:p>
        </w:tc>
        <w:tc>
          <w:tcPr>
            <w:tcW w:w="4439" w:type="dxa"/>
            <w:tcBorders/>
          </w:tcPr>
          <w:p>
            <w:pPr>
              <w:pStyle w:val="TableContents"/>
              <w:bidi w:val="0"/>
              <w:spacing w:before="0" w:after="283"/>
              <w:jc w:val="center"/>
              <w:rPr/>
            </w:pPr>
            <w:r>
              <w:rPr/>
              <w:t>Chairman of the Board</w:t>
            </w:r>
          </w:p>
        </w:tc>
        <w:tc>
          <w:tcPr>
            <w:tcW w:w="107"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pPr>
            <w:r>
              <w:rPr/>
              <w:t>May 11, 2026</w:t>
            </w:r>
          </w:p>
        </w:tc>
      </w:tr>
      <w:tr>
        <w:trPr>
          <w:trHeight w:val="240" w:hRule="atLeast"/>
        </w:trPr>
        <w:tc>
          <w:tcPr>
            <w:tcW w:w="3839" w:type="dxa"/>
            <w:tcBorders/>
            <w:vAlign w:val="center"/>
          </w:tcPr>
          <w:p>
            <w:pPr>
              <w:pStyle w:val="TableContents"/>
              <w:bidi w:val="0"/>
              <w:spacing w:before="0" w:after="283"/>
              <w:jc w:val="left"/>
              <w:rPr>
                <w:sz w:val="4"/>
                <w:szCs w:val="4"/>
              </w:rPr>
            </w:pPr>
            <w:r>
              <w:rPr>
                <w:sz w:val="4"/>
                <w:szCs w:val="4"/>
              </w:rPr>
            </w:r>
          </w:p>
        </w:tc>
        <w:tc>
          <w:tcPr>
            <w:tcW w:w="4559" w:type="dxa"/>
            <w:gridSpan w:val="2"/>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r>
      <w:tr>
        <w:trPr/>
        <w:tc>
          <w:tcPr>
            <w:tcW w:w="383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Joshua H. Bilenker, M.D.</w:t>
            </w:r>
          </w:p>
          <w:p>
            <w:pPr>
              <w:pStyle w:val="TableContents"/>
              <w:bidi w:val="0"/>
              <w:spacing w:before="0" w:after="20"/>
              <w:jc w:val="center"/>
              <w:rPr>
                <w:rFonts w:ascii="Times New Roman" w:hAnsi="Times New Roman"/>
                <w:sz w:val="20"/>
              </w:rPr>
            </w:pPr>
            <w:r>
              <w:rPr>
                <w:rFonts w:ascii="Times New Roman" w:hAnsi="Times New Roman"/>
                <w:sz w:val="20"/>
              </w:rPr>
              <w:t>Joshua H. Bilenker, M.D.</w:t>
            </w:r>
          </w:p>
        </w:tc>
        <w:tc>
          <w:tcPr>
            <w:tcW w:w="120" w:type="dxa"/>
            <w:tcBorders/>
            <w:vAlign w:val="bottom"/>
          </w:tcPr>
          <w:p>
            <w:pPr>
              <w:pStyle w:val="TableContents"/>
              <w:bidi w:val="0"/>
              <w:spacing w:before="0" w:after="283"/>
              <w:jc w:val="left"/>
              <w:rPr/>
            </w:pPr>
            <w:r>
              <w:rPr/>
              <w:t>  </w:t>
            </w:r>
          </w:p>
        </w:tc>
        <w:tc>
          <w:tcPr>
            <w:tcW w:w="4439"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pPr>
            <w:r>
              <w:rPr/>
              <w:t>May 11, 2026</w:t>
            </w:r>
          </w:p>
        </w:tc>
      </w:tr>
      <w:tr>
        <w:trPr>
          <w:trHeight w:val="240" w:hRule="atLeast"/>
        </w:trPr>
        <w:tc>
          <w:tcPr>
            <w:tcW w:w="3839" w:type="dxa"/>
            <w:tcBorders/>
            <w:vAlign w:val="center"/>
          </w:tcPr>
          <w:p>
            <w:pPr>
              <w:pStyle w:val="TableContents"/>
              <w:bidi w:val="0"/>
              <w:spacing w:before="0" w:after="283"/>
              <w:jc w:val="left"/>
              <w:rPr>
                <w:sz w:val="4"/>
                <w:szCs w:val="4"/>
              </w:rPr>
            </w:pPr>
            <w:r>
              <w:rPr>
                <w:sz w:val="4"/>
                <w:szCs w:val="4"/>
              </w:rPr>
            </w:r>
          </w:p>
        </w:tc>
        <w:tc>
          <w:tcPr>
            <w:tcW w:w="4559" w:type="dxa"/>
            <w:gridSpan w:val="2"/>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r>
      <w:tr>
        <w:trPr/>
        <w:tc>
          <w:tcPr>
            <w:tcW w:w="383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Richard Mulligan, Ph.D.</w:t>
            </w:r>
          </w:p>
          <w:p>
            <w:pPr>
              <w:pStyle w:val="TableContents"/>
              <w:bidi w:val="0"/>
              <w:spacing w:before="0" w:after="20"/>
              <w:jc w:val="center"/>
              <w:rPr>
                <w:rFonts w:ascii="Times New Roman" w:hAnsi="Times New Roman"/>
                <w:sz w:val="20"/>
              </w:rPr>
            </w:pPr>
            <w:r>
              <w:rPr>
                <w:rFonts w:ascii="Times New Roman" w:hAnsi="Times New Roman"/>
                <w:sz w:val="20"/>
              </w:rPr>
              <w:t>Richard Mulligan, Ph.D.</w:t>
            </w:r>
          </w:p>
        </w:tc>
        <w:tc>
          <w:tcPr>
            <w:tcW w:w="120" w:type="dxa"/>
            <w:tcBorders/>
            <w:vAlign w:val="bottom"/>
          </w:tcPr>
          <w:p>
            <w:pPr>
              <w:pStyle w:val="TableContents"/>
              <w:bidi w:val="0"/>
              <w:spacing w:before="0" w:after="283"/>
              <w:jc w:val="left"/>
              <w:rPr/>
            </w:pPr>
            <w:r>
              <w:rPr/>
              <w:t>  </w:t>
            </w:r>
          </w:p>
        </w:tc>
        <w:tc>
          <w:tcPr>
            <w:tcW w:w="4439"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pPr>
            <w:r>
              <w:rPr/>
              <w:t>May 11, 2026</w:t>
            </w:r>
          </w:p>
        </w:tc>
      </w:tr>
      <w:tr>
        <w:trPr>
          <w:trHeight w:val="240" w:hRule="atLeast"/>
        </w:trPr>
        <w:tc>
          <w:tcPr>
            <w:tcW w:w="3839" w:type="dxa"/>
            <w:tcBorders/>
            <w:vAlign w:val="center"/>
          </w:tcPr>
          <w:p>
            <w:pPr>
              <w:pStyle w:val="TableContents"/>
              <w:bidi w:val="0"/>
              <w:spacing w:before="0" w:after="283"/>
              <w:jc w:val="left"/>
              <w:rPr>
                <w:sz w:val="4"/>
                <w:szCs w:val="4"/>
              </w:rPr>
            </w:pPr>
            <w:r>
              <w:rPr>
                <w:sz w:val="4"/>
                <w:szCs w:val="4"/>
              </w:rPr>
            </w:r>
          </w:p>
        </w:tc>
        <w:tc>
          <w:tcPr>
            <w:tcW w:w="4559" w:type="dxa"/>
            <w:gridSpan w:val="2"/>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r>
      <w:tr>
        <w:trPr/>
        <w:tc>
          <w:tcPr>
            <w:tcW w:w="383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Nelsen</w:t>
            </w:r>
          </w:p>
          <w:p>
            <w:pPr>
              <w:pStyle w:val="TableContents"/>
              <w:bidi w:val="0"/>
              <w:spacing w:before="0" w:after="20"/>
              <w:jc w:val="center"/>
              <w:rPr>
                <w:rFonts w:ascii="Times New Roman" w:hAnsi="Times New Roman"/>
                <w:sz w:val="20"/>
              </w:rPr>
            </w:pPr>
            <w:r>
              <w:rPr>
                <w:rFonts w:ascii="Times New Roman" w:hAnsi="Times New Roman"/>
                <w:sz w:val="20"/>
              </w:rPr>
              <w:t>Robert Nelsen</w:t>
            </w:r>
          </w:p>
        </w:tc>
        <w:tc>
          <w:tcPr>
            <w:tcW w:w="120" w:type="dxa"/>
            <w:tcBorders/>
            <w:vAlign w:val="bottom"/>
          </w:tcPr>
          <w:p>
            <w:pPr>
              <w:pStyle w:val="TableContents"/>
              <w:bidi w:val="0"/>
              <w:spacing w:before="0" w:after="283"/>
              <w:jc w:val="left"/>
              <w:rPr/>
            </w:pPr>
            <w:r>
              <w:rPr/>
              <w:t>  </w:t>
            </w:r>
          </w:p>
        </w:tc>
        <w:tc>
          <w:tcPr>
            <w:tcW w:w="4439"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center"/>
              <w:rPr/>
            </w:pPr>
            <w:r>
              <w:rPr/>
              <w:t>May 11, 2026</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834"/>
        <w:gridCol w:w="120"/>
        <w:gridCol w:w="4425"/>
        <w:gridCol w:w="108"/>
        <w:gridCol w:w="1718"/>
      </w:tblGrid>
      <w:tr>
        <w:trPr/>
        <w:tc>
          <w:tcPr>
            <w:tcW w:w="38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2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83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Alise S. Reicin, M.D.</w:t>
            </w:r>
          </w:p>
          <w:p>
            <w:pPr>
              <w:pStyle w:val="TableContents"/>
              <w:bidi w:val="0"/>
              <w:spacing w:before="0" w:after="20"/>
              <w:jc w:val="center"/>
              <w:rPr>
                <w:rFonts w:ascii="Times New Roman" w:hAnsi="Times New Roman"/>
                <w:sz w:val="20"/>
              </w:rPr>
            </w:pPr>
            <w:r>
              <w:rPr>
                <w:rFonts w:ascii="Times New Roman" w:hAnsi="Times New Roman"/>
                <w:sz w:val="20"/>
              </w:rPr>
              <w:t>Alise S. Reicin, M.D.</w:t>
            </w:r>
          </w:p>
        </w:tc>
        <w:tc>
          <w:tcPr>
            <w:tcW w:w="120" w:type="dxa"/>
            <w:tcBorders/>
            <w:vAlign w:val="bottom"/>
          </w:tcPr>
          <w:p>
            <w:pPr>
              <w:pStyle w:val="TableContents"/>
              <w:bidi w:val="0"/>
              <w:spacing w:before="0" w:after="283"/>
              <w:jc w:val="left"/>
              <w:rPr/>
            </w:pPr>
            <w:r>
              <w:rPr/>
              <w:t>  </w:t>
            </w:r>
          </w:p>
        </w:tc>
        <w:tc>
          <w:tcPr>
            <w:tcW w:w="4425"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718" w:type="dxa"/>
            <w:tcBorders/>
          </w:tcPr>
          <w:p>
            <w:pPr>
              <w:pStyle w:val="TableContents"/>
              <w:bidi w:val="0"/>
              <w:spacing w:before="0" w:after="283"/>
              <w:jc w:val="center"/>
              <w:rPr/>
            </w:pPr>
            <w:r>
              <w:rPr/>
              <w:t>May 11, 2026</w:t>
            </w:r>
          </w:p>
        </w:tc>
      </w:tr>
      <w:tr>
        <w:trPr>
          <w:trHeight w:val="240" w:hRule="atLeast"/>
        </w:trPr>
        <w:tc>
          <w:tcPr>
            <w:tcW w:w="3834" w:type="dxa"/>
            <w:tcBorders/>
            <w:vAlign w:val="center"/>
          </w:tcPr>
          <w:p>
            <w:pPr>
              <w:pStyle w:val="TableContents"/>
              <w:bidi w:val="0"/>
              <w:spacing w:before="0" w:after="283"/>
              <w:jc w:val="left"/>
              <w:rPr>
                <w:sz w:val="4"/>
                <w:szCs w:val="4"/>
              </w:rPr>
            </w:pPr>
            <w:r>
              <w:rPr>
                <w:sz w:val="4"/>
                <w:szCs w:val="4"/>
              </w:rPr>
            </w:r>
          </w:p>
        </w:tc>
        <w:tc>
          <w:tcPr>
            <w:tcW w:w="4545" w:type="dxa"/>
            <w:gridSpan w:val="2"/>
            <w:tcBorders/>
            <w:vAlign w:val="center"/>
          </w:tcPr>
          <w:p>
            <w:pPr>
              <w:pStyle w:val="TableContents"/>
              <w:bidi w:val="0"/>
              <w:spacing w:before="0" w:after="283"/>
              <w:jc w:val="left"/>
              <w:rPr>
                <w:sz w:val="4"/>
                <w:szCs w:val="4"/>
              </w:rPr>
            </w:pPr>
            <w:r>
              <w:rPr>
                <w:sz w:val="4"/>
                <w:szCs w:val="4"/>
              </w:rPr>
            </w:r>
          </w:p>
        </w:tc>
        <w:tc>
          <w:tcPr>
            <w:tcW w:w="1826" w:type="dxa"/>
            <w:gridSpan w:val="2"/>
            <w:tcBorders/>
            <w:vAlign w:val="center"/>
          </w:tcPr>
          <w:p>
            <w:pPr>
              <w:pStyle w:val="TableContents"/>
              <w:bidi w:val="0"/>
              <w:spacing w:before="0" w:after="283"/>
              <w:jc w:val="left"/>
              <w:rPr>
                <w:sz w:val="4"/>
                <w:szCs w:val="4"/>
              </w:rPr>
            </w:pPr>
            <w:r>
              <w:rPr>
                <w:sz w:val="4"/>
                <w:szCs w:val="4"/>
              </w:rPr>
            </w:r>
          </w:p>
        </w:tc>
      </w:tr>
      <w:tr>
        <w:trPr/>
        <w:tc>
          <w:tcPr>
            <w:tcW w:w="383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L. Rosiello</w:t>
            </w:r>
          </w:p>
          <w:p>
            <w:pPr>
              <w:pStyle w:val="TableContents"/>
              <w:bidi w:val="0"/>
              <w:spacing w:before="0" w:after="20"/>
              <w:jc w:val="center"/>
              <w:rPr>
                <w:rFonts w:ascii="Times New Roman" w:hAnsi="Times New Roman"/>
                <w:sz w:val="20"/>
              </w:rPr>
            </w:pPr>
            <w:r>
              <w:rPr>
                <w:rFonts w:ascii="Times New Roman" w:hAnsi="Times New Roman"/>
                <w:sz w:val="20"/>
              </w:rPr>
              <w:t>Robert L. Rosiello</w:t>
            </w:r>
          </w:p>
        </w:tc>
        <w:tc>
          <w:tcPr>
            <w:tcW w:w="120" w:type="dxa"/>
            <w:tcBorders/>
            <w:vAlign w:val="bottom"/>
          </w:tcPr>
          <w:p>
            <w:pPr>
              <w:pStyle w:val="TableContents"/>
              <w:bidi w:val="0"/>
              <w:spacing w:before="0" w:after="283"/>
              <w:jc w:val="left"/>
              <w:rPr/>
            </w:pPr>
            <w:r>
              <w:rPr/>
              <w:t>  </w:t>
            </w:r>
          </w:p>
        </w:tc>
        <w:tc>
          <w:tcPr>
            <w:tcW w:w="4425"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718" w:type="dxa"/>
            <w:tcBorders/>
          </w:tcPr>
          <w:p>
            <w:pPr>
              <w:pStyle w:val="TableContents"/>
              <w:bidi w:val="0"/>
              <w:spacing w:before="0" w:after="283"/>
              <w:jc w:val="center"/>
              <w:rPr/>
            </w:pPr>
            <w:r>
              <w:rPr/>
              <w:t>May 11, 2026</w:t>
            </w:r>
          </w:p>
        </w:tc>
      </w:tr>
      <w:tr>
        <w:trPr>
          <w:trHeight w:val="240" w:hRule="atLeast"/>
        </w:trPr>
        <w:tc>
          <w:tcPr>
            <w:tcW w:w="3834" w:type="dxa"/>
            <w:tcBorders/>
            <w:vAlign w:val="center"/>
          </w:tcPr>
          <w:p>
            <w:pPr>
              <w:pStyle w:val="TableContents"/>
              <w:bidi w:val="0"/>
              <w:spacing w:before="0" w:after="283"/>
              <w:jc w:val="left"/>
              <w:rPr>
                <w:sz w:val="4"/>
                <w:szCs w:val="4"/>
              </w:rPr>
            </w:pPr>
            <w:r>
              <w:rPr>
                <w:sz w:val="4"/>
                <w:szCs w:val="4"/>
              </w:rPr>
            </w:r>
          </w:p>
        </w:tc>
        <w:tc>
          <w:tcPr>
            <w:tcW w:w="4545" w:type="dxa"/>
            <w:gridSpan w:val="2"/>
            <w:tcBorders/>
            <w:vAlign w:val="center"/>
          </w:tcPr>
          <w:p>
            <w:pPr>
              <w:pStyle w:val="TableContents"/>
              <w:bidi w:val="0"/>
              <w:spacing w:before="0" w:after="283"/>
              <w:jc w:val="left"/>
              <w:rPr>
                <w:sz w:val="4"/>
                <w:szCs w:val="4"/>
              </w:rPr>
            </w:pPr>
            <w:r>
              <w:rPr>
                <w:sz w:val="4"/>
                <w:szCs w:val="4"/>
              </w:rPr>
            </w:r>
          </w:p>
        </w:tc>
        <w:tc>
          <w:tcPr>
            <w:tcW w:w="1826" w:type="dxa"/>
            <w:gridSpan w:val="2"/>
            <w:tcBorders/>
            <w:vAlign w:val="center"/>
          </w:tcPr>
          <w:p>
            <w:pPr>
              <w:pStyle w:val="TableContents"/>
              <w:bidi w:val="0"/>
              <w:spacing w:before="0" w:after="283"/>
              <w:jc w:val="left"/>
              <w:rPr>
                <w:sz w:val="4"/>
                <w:szCs w:val="4"/>
              </w:rPr>
            </w:pPr>
            <w:r>
              <w:rPr>
                <w:sz w:val="4"/>
                <w:szCs w:val="4"/>
              </w:rPr>
            </w:r>
          </w:p>
        </w:tc>
      </w:tr>
      <w:tr>
        <w:trPr/>
        <w:tc>
          <w:tcPr>
            <w:tcW w:w="383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Michelle Seitz, CFA</w:t>
            </w:r>
          </w:p>
          <w:p>
            <w:pPr>
              <w:pStyle w:val="TableContents"/>
              <w:bidi w:val="0"/>
              <w:spacing w:before="0" w:after="20"/>
              <w:jc w:val="center"/>
              <w:rPr>
                <w:rFonts w:ascii="Times New Roman" w:hAnsi="Times New Roman"/>
                <w:sz w:val="20"/>
              </w:rPr>
            </w:pPr>
            <w:r>
              <w:rPr>
                <w:rFonts w:ascii="Times New Roman" w:hAnsi="Times New Roman"/>
                <w:sz w:val="20"/>
              </w:rPr>
              <w:t>Michelle Seitz</w:t>
            </w:r>
          </w:p>
        </w:tc>
        <w:tc>
          <w:tcPr>
            <w:tcW w:w="120" w:type="dxa"/>
            <w:tcBorders/>
            <w:vAlign w:val="bottom"/>
          </w:tcPr>
          <w:p>
            <w:pPr>
              <w:pStyle w:val="TableContents"/>
              <w:bidi w:val="0"/>
              <w:spacing w:before="0" w:after="283"/>
              <w:jc w:val="left"/>
              <w:rPr/>
            </w:pPr>
            <w:r>
              <w:rPr/>
              <w:t>  </w:t>
            </w:r>
          </w:p>
        </w:tc>
        <w:tc>
          <w:tcPr>
            <w:tcW w:w="4425"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718" w:type="dxa"/>
            <w:tcBorders/>
          </w:tcPr>
          <w:p>
            <w:pPr>
              <w:pStyle w:val="TableContents"/>
              <w:bidi w:val="0"/>
              <w:spacing w:before="0" w:after="283"/>
              <w:jc w:val="center"/>
              <w:rPr/>
            </w:pPr>
            <w:r>
              <w:rPr/>
              <w:t>May 11, 2026</w:t>
            </w:r>
          </w:p>
        </w:tc>
      </w:tr>
      <w:tr>
        <w:trPr>
          <w:trHeight w:val="240" w:hRule="atLeast"/>
        </w:trPr>
        <w:tc>
          <w:tcPr>
            <w:tcW w:w="3834" w:type="dxa"/>
            <w:tcBorders/>
            <w:vAlign w:val="center"/>
          </w:tcPr>
          <w:p>
            <w:pPr>
              <w:pStyle w:val="TableContents"/>
              <w:bidi w:val="0"/>
              <w:spacing w:before="0" w:after="283"/>
              <w:jc w:val="left"/>
              <w:rPr>
                <w:sz w:val="4"/>
                <w:szCs w:val="4"/>
              </w:rPr>
            </w:pPr>
            <w:r>
              <w:rPr>
                <w:sz w:val="4"/>
                <w:szCs w:val="4"/>
              </w:rPr>
            </w:r>
          </w:p>
        </w:tc>
        <w:tc>
          <w:tcPr>
            <w:tcW w:w="4545" w:type="dxa"/>
            <w:gridSpan w:val="2"/>
            <w:tcBorders/>
            <w:vAlign w:val="center"/>
          </w:tcPr>
          <w:p>
            <w:pPr>
              <w:pStyle w:val="TableContents"/>
              <w:bidi w:val="0"/>
              <w:spacing w:before="0" w:after="283"/>
              <w:jc w:val="left"/>
              <w:rPr>
                <w:sz w:val="4"/>
                <w:szCs w:val="4"/>
              </w:rPr>
            </w:pPr>
            <w:r>
              <w:rPr>
                <w:sz w:val="4"/>
                <w:szCs w:val="4"/>
              </w:rPr>
            </w:r>
          </w:p>
        </w:tc>
        <w:tc>
          <w:tcPr>
            <w:tcW w:w="1826" w:type="dxa"/>
            <w:gridSpan w:val="2"/>
            <w:tcBorders/>
            <w:vAlign w:val="center"/>
          </w:tcPr>
          <w:p>
            <w:pPr>
              <w:pStyle w:val="TableContents"/>
              <w:bidi w:val="0"/>
              <w:spacing w:before="0" w:after="283"/>
              <w:jc w:val="left"/>
              <w:rPr>
                <w:sz w:val="4"/>
                <w:szCs w:val="4"/>
              </w:rPr>
            </w:pPr>
            <w:r>
              <w:rPr>
                <w:sz w:val="4"/>
                <w:szCs w:val="4"/>
              </w:rPr>
            </w:r>
          </w:p>
        </w:tc>
      </w:tr>
      <w:tr>
        <w:trPr/>
        <w:tc>
          <w:tcPr>
            <w:tcW w:w="383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Patrick Y. Yang, Ph.D.</w:t>
            </w:r>
          </w:p>
          <w:p>
            <w:pPr>
              <w:pStyle w:val="TableContents"/>
              <w:bidi w:val="0"/>
              <w:spacing w:before="0" w:after="20"/>
              <w:jc w:val="center"/>
              <w:rPr>
                <w:rFonts w:ascii="Times New Roman" w:hAnsi="Times New Roman"/>
                <w:sz w:val="20"/>
              </w:rPr>
            </w:pPr>
            <w:r>
              <w:rPr>
                <w:rFonts w:ascii="Times New Roman" w:hAnsi="Times New Roman"/>
                <w:sz w:val="20"/>
              </w:rPr>
              <w:t>Patrick Y. Yang, Ph.D.</w:t>
            </w:r>
          </w:p>
        </w:tc>
        <w:tc>
          <w:tcPr>
            <w:tcW w:w="120" w:type="dxa"/>
            <w:tcBorders/>
            <w:vAlign w:val="bottom"/>
          </w:tcPr>
          <w:p>
            <w:pPr>
              <w:pStyle w:val="TableContents"/>
              <w:bidi w:val="0"/>
              <w:spacing w:before="0" w:after="283"/>
              <w:jc w:val="left"/>
              <w:rPr/>
            </w:pPr>
            <w:r>
              <w:rPr/>
              <w:t>  </w:t>
            </w:r>
          </w:p>
        </w:tc>
        <w:tc>
          <w:tcPr>
            <w:tcW w:w="4425"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718" w:type="dxa"/>
            <w:tcBorders/>
          </w:tcPr>
          <w:p>
            <w:pPr>
              <w:pStyle w:val="TableContents"/>
              <w:bidi w:val="0"/>
              <w:spacing w:before="0" w:after="283"/>
              <w:jc w:val="center"/>
              <w:rPr/>
            </w:pPr>
            <w:r>
              <w:rPr/>
              <w:t>May 11, 2026</w:t>
            </w:r>
          </w:p>
        </w:tc>
      </w:tr>
    </w:tbl>
    <w:p>
      <w:pPr>
        <w:pStyle w:val="TextBody"/>
        <w:bidi w:val="0"/>
        <w:spacing w:before="0" w:after="0"/>
        <w:jc w:val="right"/>
        <w:rPr>
          <w:rFonts w:ascii="Times New Roman" w:hAnsi="Times New Roman"/>
          <w:b/>
          <w:sz w:val="20"/>
        </w:rPr>
      </w:pPr>
      <w:bookmarkStart w:id="3" w:name="d134015dex51.htm"/>
      <w:bookmarkStart w:id="4" w:name="ksd134015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8"/>
        <w:gridCol w:w="101"/>
        <w:gridCol w:w="5716"/>
      </w:tblGrid>
      <w:tr>
        <w:trPr/>
        <w:tc>
          <w:tcPr>
            <w:tcW w:w="43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r>
      <w:tr>
        <w:trPr/>
        <w:tc>
          <w:tcPr>
            <w:tcW w:w="4388" w:type="dxa"/>
            <w:tcBorders/>
          </w:tcPr>
          <w:p>
            <w:pPr>
              <w:pStyle w:val="TableContents"/>
              <w:bidi w:val="0"/>
              <w:spacing w:before="0" w:after="283"/>
              <w:jc w:val="left"/>
              <w:rPr/>
            </w:pPr>
            <w:r>
              <w:rPr/>
              <w:drawing>
                <wp:inline distT="0" distB="0" distL="0" distR="0">
                  <wp:extent cx="12954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1295400" cy="53340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5716" w:type="dxa"/>
            <w:tcBorders/>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w:t>
            </w:r>
          </w:p>
          <w:p>
            <w:pPr>
              <w:pStyle w:val="TableContents"/>
              <w:bidi w:val="0"/>
              <w:spacing w:before="0" w:after="0"/>
              <w:jc w:val="left"/>
              <w:rPr>
                <w:rFonts w:ascii="Times New Roman" w:hAnsi="Times New Roman"/>
                <w:sz w:val="20"/>
              </w:rPr>
            </w:pPr>
            <w:r>
              <w:rPr>
                <w:rFonts w:ascii="Times New Roman" w:hAnsi="Times New Roman"/>
                <w:sz w:val="20"/>
              </w:rPr>
              <w:t>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650 Page Mill Road</w:t>
            </w:r>
          </w:p>
          <w:p>
            <w:pPr>
              <w:pStyle w:val="TableContents"/>
              <w:bidi w:val="0"/>
              <w:spacing w:before="0" w:after="0"/>
              <w:jc w:val="left"/>
              <w:rPr>
                <w:rFonts w:ascii="Times New Roman" w:hAnsi="Times New Roman"/>
                <w:sz w:val="20"/>
              </w:rPr>
            </w:pPr>
            <w:r>
              <w:rPr>
                <w:rFonts w:ascii="Times New Roman" w:hAnsi="Times New Roman"/>
                <w:sz w:val="20"/>
              </w:rPr>
              <w:t>Palo Alto, California 94304-1050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 650.493.9300</w:t>
            </w:r>
          </w:p>
          <w:p>
            <w:pPr>
              <w:pStyle w:val="TableContents"/>
              <w:bidi w:val="0"/>
              <w:spacing w:before="0" w:after="20"/>
              <w:jc w:val="left"/>
              <w:rPr>
                <w:rFonts w:ascii="Times New Roman" w:hAnsi="Times New Roman"/>
                <w:sz w:val="20"/>
              </w:rPr>
            </w:pPr>
            <w:r>
              <w:rPr>
                <w:rFonts w:ascii="Times New Roman" w:hAnsi="Times New Roman"/>
                <w:sz w:val="20"/>
              </w:rPr>
              <w:t>F: 866.974.7329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May 11, 2026 </w:t>
      </w:r>
    </w:p>
    <w:p>
      <w:pPr>
        <w:pStyle w:val="TextBody"/>
        <w:bidi w:val="0"/>
        <w:spacing w:before="240" w:after="0"/>
        <w:jc w:val="left"/>
        <w:rPr>
          <w:rFonts w:ascii="Times New Roman" w:hAnsi="Times New Roman"/>
          <w:sz w:val="20"/>
        </w:rPr>
      </w:pPr>
      <w:r>
        <w:rPr>
          <w:rFonts w:ascii="Times New Roman" w:hAnsi="Times New Roman"/>
          <w:sz w:val="20"/>
        </w:rPr>
        <w:t xml:space="preserve">Sana Biotechnology, Inc. </w:t>
      </w:r>
    </w:p>
    <w:p>
      <w:pPr>
        <w:pStyle w:val="TextBody"/>
        <w:bidi w:val="0"/>
        <w:spacing w:before="0" w:after="0"/>
        <w:jc w:val="left"/>
        <w:rPr>
          <w:rFonts w:ascii="Times New Roman" w:hAnsi="Times New Roman"/>
          <w:sz w:val="20"/>
        </w:rPr>
      </w:pPr>
      <w:r>
        <w:rPr>
          <w:rFonts w:ascii="Times New Roman" w:hAnsi="Times New Roman"/>
          <w:sz w:val="20"/>
        </w:rPr>
        <w:t xml:space="preserve">188 East Blaine Street, Suite 350 </w:t>
      </w:r>
    </w:p>
    <w:p>
      <w:pPr>
        <w:pStyle w:val="TextBody"/>
        <w:bidi w:val="0"/>
        <w:spacing w:before="0" w:after="0"/>
        <w:jc w:val="left"/>
        <w:rPr>
          <w:rFonts w:ascii="Times New Roman" w:hAnsi="Times New Roman"/>
          <w:sz w:val="20"/>
        </w:rPr>
      </w:pPr>
      <w:r>
        <w:rPr>
          <w:rFonts w:ascii="Times New Roman" w:hAnsi="Times New Roman"/>
          <w:sz w:val="20"/>
        </w:rPr>
        <w:t xml:space="preserve">Seattle, Washington 98102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Registration Statement on Form S-8</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At your request, we have examined the Registration Statement on Form S-8 (the “Registration Statement”) to be filed by Sana Biotechnology, Inc., a Delaware corporation (the “Company”), with the Securities and Exchange Commission (the “Commission”), on or about the date hereof, relating to the registration under the Securities Act of 1933, as amended (the “Act”), of 13,336,582 shares of the Company’s common stock, par value $0.0001 per share (the “Shares”), to be issued under the Company’s 2021 Incentive Award Plan, as amended (the “2021 Plan”). As your legal counsel, we have reviewed the actions proposed to be taken by you in connection with the issuance and sale of the Shares to be issued under the 2021 Plan.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issued and sold in the manner described in the 2021 Plan and pursuant to the agreements that accompany the 2021 Plan, will be legally and validly issued, fully paid and nonassessable.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above-referenced Registration Statement and to the use of our name wherever it appears in the Registration Statement and in any amendments thereto.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 Wilson Sonsini Goodrich &amp; Rosati, P.C.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WILSON SONSINI GOODRICH &amp; ROSATI</w:t>
            </w:r>
          </w:p>
        </w:tc>
      </w:tr>
      <w:tr>
        <w:trPr/>
        <w:tc>
          <w:tcPr>
            <w:tcW w:w="4082" w:type="dxa"/>
            <w:tcBorders/>
          </w:tcPr>
          <w:p>
            <w:pPr>
              <w:pStyle w:val="TableContents"/>
              <w:bidi w:val="0"/>
              <w:spacing w:before="0" w:after="283"/>
              <w:jc w:val="left"/>
              <w:rPr/>
            </w:pPr>
            <w:r>
              <w:rPr/>
              <w:t>Professional Corporation</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AUSTIN BOSTON BOULDER BRUSSELS CENTURY CITY HONG KONG LONDON LOS ANGELES NEW YORK PALO ALTO </w:t>
      </w:r>
    </w:p>
    <w:p>
      <w:pPr>
        <w:pStyle w:val="TextBody"/>
        <w:bidi w:val="0"/>
        <w:spacing w:before="120" w:after="0"/>
        <w:jc w:val="center"/>
        <w:rPr>
          <w:rFonts w:ascii="Times New Roman" w:hAnsi="Times New Roman"/>
          <w:sz w:val="20"/>
        </w:rPr>
      </w:pPr>
      <w:r>
        <w:rPr>
          <w:rFonts w:ascii="Times New Roman" w:hAnsi="Times New Roman"/>
          <w:sz w:val="20"/>
        </w:rPr>
        <w:t xml:space="preserve">SALT LAKE CITY SAN DIEGO SAN FRANCISCO SEATTLE SHANGHAI WASHINGTON, DC WILMINGTON, DE </w:t>
      </w:r>
    </w:p>
    <w:p>
      <w:pPr>
        <w:pStyle w:val="TextBody"/>
        <w:bidi w:val="0"/>
        <w:spacing w:before="0" w:after="0"/>
        <w:jc w:val="right"/>
        <w:rPr>
          <w:rFonts w:ascii="Times New Roman" w:hAnsi="Times New Roman"/>
          <w:b/>
          <w:sz w:val="20"/>
        </w:rPr>
      </w:pPr>
      <w:bookmarkStart w:id="5" w:name="d134015dex232.htm"/>
      <w:bookmarkStart w:id="6" w:name="ksd134015dex232"/>
      <w:bookmarkEnd w:id="5"/>
      <w:bookmarkEnd w:id="6"/>
      <w:r>
        <w:rPr>
          <w:rFonts w:ascii="Times New Roman" w:hAnsi="Times New Roman"/>
          <w:b/>
          <w:sz w:val="20"/>
        </w:rPr>
        <w:t xml:space="preserve">Exhibit 23.2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Sana Biotechnology, Inc. 2021 Incentive Award Plan of our report dated March 3, 2026, with respect to the consolidated financial statements of Sana Biotechnology,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Seattle, Washington </w:t>
      </w:r>
    </w:p>
    <w:p>
      <w:pPr>
        <w:pStyle w:val="TextBody"/>
        <w:bidi w:val="0"/>
        <w:spacing w:before="0" w:after="0"/>
        <w:jc w:val="left"/>
        <w:rPr>
          <w:rFonts w:ascii="Times New Roman" w:hAnsi="Times New Roman"/>
          <w:sz w:val="20"/>
        </w:rPr>
      </w:pPr>
      <w:r>
        <w:rPr>
          <w:rFonts w:ascii="Times New Roman" w:hAnsi="Times New Roman"/>
          <w:sz w:val="20"/>
        </w:rPr>
        <w:t xml:space="preserve">May 11, 2026 </w:t>
      </w:r>
    </w:p>
    <w:p>
      <w:pPr>
        <w:pStyle w:val="Normal"/>
        <w:bidi w:val="0"/>
        <w:spacing w:before="0" w:after="0"/>
        <w:jc w:val="left"/>
        <w:rPr>
          <w:sz w:val="4"/>
          <w:szCs w:val="4"/>
        </w:rPr>
      </w:pPr>
      <w:r>
        <w:rPr>
          <w:sz w:val="4"/>
          <w:szCs w:val="4"/>
        </w:rPr>
      </w:r>
      <w:bookmarkStart w:id="7" w:name="d134015dexfilingfees.htm"/>
      <w:bookmarkStart w:id="8" w:name="ksd134015dexfilingfees"/>
      <w:bookmarkStart w:id="9" w:name="d134015dexfilingfees.htm"/>
      <w:bookmarkStart w:id="10" w:name="ksd134015dexfilingfees"/>
      <w:bookmarkEnd w:id="9"/>
      <w:bookmarkEnd w:id="10"/>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Sana Biotechnology,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2"/>
        <w:gridCol w:w="1105"/>
        <w:gridCol w:w="1286"/>
        <w:gridCol w:w="1196"/>
        <w:gridCol w:w="1193"/>
        <w:gridCol w:w="1688"/>
        <w:gridCol w:w="1126"/>
        <w:gridCol w:w="1418"/>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0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8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8"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2" w:type="dxa"/>
            <w:tcBorders/>
            <w:shd w:fill="E7E7E2" w:val="clear"/>
            <w:vAlign w:val="center"/>
          </w:tcPr>
          <w:p>
            <w:pPr>
              <w:pStyle w:val="TableContents"/>
              <w:bidi w:val="0"/>
              <w:spacing w:before="0" w:after="283"/>
              <w:jc w:val="left"/>
              <w:rPr/>
            </w:pPr>
            <w:r>
              <w:rPr/>
              <w:t xml:space="preserve">Equity </w:t>
            </w:r>
          </w:p>
        </w:tc>
        <w:tc>
          <w:tcPr>
            <w:tcW w:w="1105" w:type="dxa"/>
            <w:tcBorders/>
            <w:shd w:fill="E7E7E2" w:val="clear"/>
            <w:vAlign w:val="center"/>
          </w:tcPr>
          <w:p>
            <w:pPr>
              <w:pStyle w:val="TableContents"/>
              <w:bidi w:val="0"/>
              <w:spacing w:before="0" w:after="283"/>
              <w:jc w:val="left"/>
              <w:rPr/>
            </w:pPr>
            <w:r>
              <w:rPr/>
              <w:t xml:space="preserve">Common stock, $0.0001 par value per share, reserved for issuance pursuant to the 2021 Incentive Award Plan, as amended </w:t>
            </w:r>
          </w:p>
        </w:tc>
        <w:tc>
          <w:tcPr>
            <w:tcW w:w="1286" w:type="dxa"/>
            <w:tcBorders/>
            <w:shd w:fill="E7E7E2" w:val="clear"/>
            <w:vAlign w:val="center"/>
          </w:tcPr>
          <w:p>
            <w:pPr>
              <w:pStyle w:val="TableContents"/>
              <w:bidi w:val="0"/>
              <w:spacing w:before="0" w:after="283"/>
              <w:jc w:val="center"/>
              <w:rPr/>
            </w:pPr>
            <w:r>
              <w:rPr/>
              <w:t xml:space="preserve">Other </w:t>
            </w:r>
          </w:p>
        </w:tc>
        <w:tc>
          <w:tcPr>
            <w:tcW w:w="1196" w:type="dxa"/>
            <w:tcBorders/>
            <w:shd w:fill="E7E7E2" w:val="clear"/>
            <w:vAlign w:val="center"/>
          </w:tcPr>
          <w:p>
            <w:pPr>
              <w:pStyle w:val="TableContents"/>
              <w:bidi w:val="0"/>
              <w:spacing w:before="0" w:after="283"/>
              <w:jc w:val="right"/>
              <w:rPr/>
            </w:pPr>
            <w:r>
              <w:rPr/>
              <w:t xml:space="preserve">13,336,582 </w:t>
            </w:r>
          </w:p>
        </w:tc>
        <w:tc>
          <w:tcPr>
            <w:tcW w:w="1193" w:type="dxa"/>
            <w:tcBorders/>
            <w:shd w:fill="E7E7E2" w:val="clear"/>
            <w:vAlign w:val="center"/>
          </w:tcPr>
          <w:p>
            <w:pPr>
              <w:pStyle w:val="TableContents"/>
              <w:bidi w:val="0"/>
              <w:spacing w:before="0" w:after="283"/>
              <w:jc w:val="right"/>
              <w:rPr/>
            </w:pPr>
            <w:r>
              <w:rPr/>
              <w:t xml:space="preserve">$ 3.34 </w:t>
            </w:r>
          </w:p>
        </w:tc>
        <w:tc>
          <w:tcPr>
            <w:tcW w:w="1688" w:type="dxa"/>
            <w:tcBorders/>
            <w:shd w:fill="E7E7E2" w:val="clear"/>
            <w:vAlign w:val="center"/>
          </w:tcPr>
          <w:p>
            <w:pPr>
              <w:pStyle w:val="TableContents"/>
              <w:bidi w:val="0"/>
              <w:spacing w:before="0" w:after="283"/>
              <w:jc w:val="right"/>
              <w:rPr/>
            </w:pPr>
            <w:r>
              <w:rPr/>
              <w:t xml:space="preserve">$ 44,544,183.88 </w:t>
            </w:r>
          </w:p>
        </w:tc>
        <w:tc>
          <w:tcPr>
            <w:tcW w:w="1126" w:type="dxa"/>
            <w:tcBorders/>
            <w:shd w:fill="E7E7E2" w:val="clear"/>
            <w:vAlign w:val="center"/>
          </w:tcPr>
          <w:p>
            <w:pPr>
              <w:pStyle w:val="TableContents"/>
              <w:bidi w:val="0"/>
              <w:spacing w:before="0" w:after="283"/>
              <w:jc w:val="right"/>
              <w:rPr/>
            </w:pPr>
            <w:r>
              <w:rPr/>
              <w:t xml:space="preserve">0.0001381 </w:t>
            </w:r>
          </w:p>
        </w:tc>
        <w:tc>
          <w:tcPr>
            <w:tcW w:w="1418" w:type="dxa"/>
            <w:tcBorders/>
            <w:shd w:fill="E7E7E2" w:val="clear"/>
            <w:vAlign w:val="center"/>
          </w:tcPr>
          <w:p>
            <w:pPr>
              <w:pStyle w:val="TableContents"/>
              <w:bidi w:val="0"/>
              <w:spacing w:before="0" w:after="283"/>
              <w:jc w:val="right"/>
              <w:rPr/>
            </w:pPr>
            <w:r>
              <w:rPr/>
              <w:t xml:space="preserve">$ 6,151.55 </w:t>
            </w:r>
          </w:p>
        </w:tc>
      </w:tr>
      <w:tr>
        <w:trPr/>
        <w:tc>
          <w:tcPr>
            <w:tcW w:w="4780" w:type="dxa"/>
            <w:gridSpan w:val="5"/>
            <w:tcBorders/>
            <w:vAlign w:val="center"/>
          </w:tcPr>
          <w:p>
            <w:pPr>
              <w:pStyle w:val="TableContents"/>
              <w:bidi w:val="0"/>
              <w:spacing w:before="0" w:after="0"/>
              <w:ind w:left="0" w:right="0" w:hanging="0"/>
              <w:jc w:val="right"/>
              <w:rPr/>
            </w:pPr>
            <w:r>
              <w:rPr/>
              <w:t>Total Offering Amounts:</w:t>
            </w:r>
          </w:p>
        </w:tc>
        <w:tc>
          <w:tcPr>
            <w:tcW w:w="119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0"/>
              <w:ind w:left="0" w:right="0" w:hanging="0"/>
              <w:jc w:val="right"/>
              <w:rPr/>
            </w:pPr>
            <w:bookmarkStart w:id="11" w:name="MaxAggtOfferingPrice"/>
            <w:bookmarkEnd w:id="11"/>
            <w:r>
              <w:rPr/>
              <w:t xml:space="preserve">$ 44,544,183.88 </w:t>
            </w:r>
          </w:p>
        </w:tc>
        <w:tc>
          <w:tcPr>
            <w:tcW w:w="1126" w:type="dxa"/>
            <w:tcBorders/>
            <w:vAlign w:val="center"/>
          </w:tcPr>
          <w:p>
            <w:pPr>
              <w:pStyle w:val="TableContents"/>
              <w:bidi w:val="0"/>
              <w:spacing w:before="0" w:after="283"/>
              <w:jc w:val="left"/>
              <w:rPr>
                <w:sz w:val="4"/>
                <w:szCs w:val="4"/>
              </w:rPr>
            </w:pPr>
            <w:r>
              <w:rPr>
                <w:sz w:val="4"/>
                <w:szCs w:val="4"/>
              </w:rPr>
            </w:r>
          </w:p>
        </w:tc>
        <w:tc>
          <w:tcPr>
            <w:tcW w:w="141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$ 6,151.55 </w:t>
            </w:r>
          </w:p>
        </w:tc>
      </w:tr>
      <w:tr>
        <w:trPr/>
        <w:tc>
          <w:tcPr>
            <w:tcW w:w="4780" w:type="dxa"/>
            <w:gridSpan w:val="5"/>
            <w:tcBorders/>
            <w:vAlign w:val="center"/>
          </w:tcPr>
          <w:p>
            <w:pPr>
              <w:pStyle w:val="TableContents"/>
              <w:bidi w:val="0"/>
              <w:spacing w:before="0" w:after="0"/>
              <w:ind w:left="0" w:right="0" w:hanging="0"/>
              <w:jc w:val="right"/>
              <w:rPr/>
            </w:pPr>
            <w:r>
              <w:rPr/>
              <w:t xml:space="preserve">Total Fee Offsets: </w:t>
            </w:r>
          </w:p>
        </w:tc>
        <w:tc>
          <w:tcPr>
            <w:tcW w:w="119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80" w:type="dxa"/>
            <w:gridSpan w:val="5"/>
            <w:tcBorders/>
            <w:vAlign w:val="center"/>
          </w:tcPr>
          <w:p>
            <w:pPr>
              <w:pStyle w:val="TableContents"/>
              <w:bidi w:val="0"/>
              <w:spacing w:before="0" w:after="0"/>
              <w:ind w:left="0" w:right="0" w:hanging="0"/>
              <w:jc w:val="right"/>
              <w:rPr/>
            </w:pPr>
            <w:r>
              <w:rPr/>
              <w:t xml:space="preserve">Net Fee Due: </w:t>
            </w:r>
          </w:p>
        </w:tc>
        <w:tc>
          <w:tcPr>
            <w:tcW w:w="119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0"/>
              <w:ind w:left="0" w:right="0" w:hanging="0"/>
              <w:jc w:val="right"/>
              <w:rPr/>
            </w:pPr>
            <w:bookmarkStart w:id="14" w:name="NetFeeAmt"/>
            <w:bookmarkEnd w:id="14"/>
            <w:r>
              <w:rPr/>
              <w:t xml:space="preserve">$ 6,151.55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5"/>
        <w:gridCol w:w="871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Pursuant to Rule 416(a) under the Securities Act of 1933, as amended (the "Securities Act"), the registration statement to which this exhibit relates (the "Registration Statement") shall also cover any additional shares of common stock, par value $0.0001 per share ("Common Stock"), of Sana Biotechnology, Inc. (the "Registrant") that become issuable under the 2021 Incentive Award Plan, as amended (the "2021 Plan"), by reason of any stock dividend, stock split, recapitalization, or similar transaction effected without the Registrant's receipt of consideration that would increase the number of outstanding shares of Common Stock. The proposed maximum offering price per unit is estimated pursuant to Rule 457(c) and Rule 457(h) of the Securities Act solely for the purpose of calculating the registration fee on the basis of $3.34 per share, which is the average of the high and low sale prices of Common Stock as reported on The Nasdaq Global Select Market on May 4, 2026. The amount registered represents additional shares of Common Stock reserved for issuance under the 2021 Plan as a result of the automatic increase in shares reserved thereunder on January 1, 2026 pursuant to the terms thereof.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70121/000119312525116015/d862893ds8.htm" TargetMode="External"/><Relationship Id="rId3" Type="http://schemas.openxmlformats.org/officeDocument/2006/relationships/hyperlink" Target="http://www.sec.gov/Archives/edgar/data/1770121/000119312524134294/d834326ds8.htm" TargetMode="External"/><Relationship Id="rId4" Type="http://schemas.openxmlformats.org/officeDocument/2006/relationships/hyperlink" Target="http://www.sec.gov/Archives/edgar/data/1770121/000119312523138359/d413459ds8.htm" TargetMode="External"/><Relationship Id="rId5" Type="http://schemas.openxmlformats.org/officeDocument/2006/relationships/hyperlink" Target="http://www.sec.gov/Archives/edgar/data/1770121/000119312522146418/d310603ds8.htm" TargetMode="External"/><Relationship Id="rId6" Type="http://schemas.openxmlformats.org/officeDocument/2006/relationships/hyperlink" Target="http://www.sec.gov/Archives/edgar/data/1770121/000119312521032543/d120409ds8.htm" TargetMode="External"/><Relationship Id="rId7" Type="http://schemas.openxmlformats.org/officeDocument/2006/relationships/hyperlink" Target="http://www.sec.gov/Archives/edgar/data/../../../ix?doc=/Archives/edgar/data/0001770121/000119312526088215/sana-20251231.htm" TargetMode="External"/><Relationship Id="rId8" Type="http://schemas.openxmlformats.org/officeDocument/2006/relationships/hyperlink" Target="http://www.sec.gov/Archives/edgar/data/1770121/000119312521016261/d31871d8a12b.htm" TargetMode="External"/><Relationship Id="rId9" Type="http://schemas.openxmlformats.org/officeDocument/2006/relationships/hyperlink" Target="http://www.sec.gov/Archives/edgar/data/1770121/000119312526088215/sana-ex4_3.htm" TargetMode="External"/><Relationship Id="rId10" Type="http://schemas.openxmlformats.org/officeDocument/2006/relationships/hyperlink" Target="http://www.sec.gov/Archives/edgar/data/1770121/000119312521019984/d60414dex42.htm" TargetMode="External"/><Relationship Id="rId11" Type="http://schemas.openxmlformats.org/officeDocument/2006/relationships/hyperlink" Target="http://www.sec.gov/Archives/edgar/data/1770121/000119312524134294/d834326dex991a.htm" TargetMode="External"/><Relationship Id="rId12" Type="http://schemas.openxmlformats.org/officeDocument/2006/relationships/hyperlink" Target="http://www.sec.gov/Archives/edgar/data/1770121/000156459022010539/sana-ex104b_14.htm" TargetMode="External"/><Relationship Id="rId13" Type="http://schemas.openxmlformats.org/officeDocument/2006/relationships/hyperlink" Target="http://www.sec.gov/Archives/edgar/data/1770121/000119312521019984/d60414dex104b.htm" TargetMode="External"/><Relationship Id="rId14" Type="http://schemas.openxmlformats.org/officeDocument/2006/relationships/hyperlink" Target="http://www.sec.gov/Archives/edgar/data/1770121/000156459022010539/sana-ex104d_13.htm" TargetMode="External"/><Relationship Id="rId15" Type="http://schemas.openxmlformats.org/officeDocument/2006/relationships/hyperlink" Target="http://www.sec.gov/Archives/edgar/data/1770121/000119312521019984/d60414dex104c.htm" TargetMode="External"/><Relationship Id="rId16" Type="http://schemas.openxmlformats.org/officeDocument/2006/relationships/hyperlink" Target="http://www.sec.gov/Archives/edgar/data/1770121/000119312521019984/d60414dex104d.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2256</Words>
  <Characters>12212</Characters>
  <CharactersWithSpaces>14514</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