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bookmarkStart w:id="0" w:name="sana-20260930.htm"/>
      <w:bookmarkStart w:id="1" w:name="kssana20260930"/>
      <w:bookmarkEnd w:id="0"/>
      <w:bookmarkEnd w:id="1"/>
      <w:r>
        <w:t> </w:t>
      </w:r>
    </w:p>
    <w:p>
      <w:pPr>
        <w:pStyle w:val="TextBody"/>
        <w:pBdr>
          <w:top w:val="double" w:sz="6" w:space="1" w:color="000000"/>
        </w:pBdr>
        <w:bidi w:val="0"/>
        <w:jc w:val="left"/>
      </w:pPr>
      <w: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pPr>
      <w:r>
        <w:t> </w:t>
      </w:r>
    </w:p>
    <w:p>
      <w:pPr>
        <w:pStyle w:val="TextBody"/>
        <w:bidi w:val="0"/>
        <w:spacing w:before="10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pPr>
      <w:r>
        <w:t> </w:t>
      </w:r>
    </w:p>
    <w:p>
      <w:pPr>
        <w:pStyle w:val="TextBody"/>
        <w:bidi w:val="0"/>
        <w:spacing w:before="10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00" w:after="283"/>
        <w:jc w:val="center"/>
        <w:rPr>
          <w:rFonts w:ascii="Times New Roman" w:hAnsi="Times New Roman"/>
          <w:sz w:val="20"/>
        </w:rPr>
      </w:pPr>
      <w:r>
        <w:rPr>
          <w:rFonts w:ascii="Times New Roman" w:hAnsi="Times New Roman"/>
          <w:b/>
          <w:color w:val="000000"/>
          <w:sz w:val="20"/>
        </w:rPr>
        <w:t>For the quarterly period ended September 30, 2026</w:t>
      </w:r>
      <w:r>
        <w:rPr>
          <w:rFonts w:ascii="Times New Roman" w:hAnsi="Times New Roman"/>
          <w:color w:val="000000"/>
          <w:sz w:val="20"/>
        </w:rPr>
        <w:t xml:space="preserve"> </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center"/>
      </w:pPr>
      <w:r>
        <w:t> </w:t>
      </w:r>
    </w:p>
    <w:tbl>
      <w:tblPr>
        <w:tblW w:w="10205" w:type="dxa"/>
        <w:jc w:val="left"/>
        <w:tblInd w:w="0" w:type="dxa"/>
        <w:tblLayout w:type="fixed"/>
        <w:tblCellMar>
          <w:top w:w="28" w:type="dxa"/>
          <w:left w:w="28" w:type="dxa"/>
          <w:bottom w:w="28" w:type="dxa"/>
          <w:right w:w="28" w:type="dxa"/>
        </w:tblCellMar>
      </w:tblPr>
      <w:tblGrid>
        <w:gridCol w:w="331"/>
        <w:gridCol w:w="9874"/>
      </w:tblGrid>
      <w:t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For the transition period from to</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001-39941</w:t>
      </w:r>
    </w:p>
    <w:p>
      <w:pPr>
        <w:pStyle w:val="TextBody"/>
        <w:pBdr>
          <w:bottom w:val="single" w:sz="4" w:space="1" w:color="000000"/>
        </w:pBdr>
        <w:bidi w:val="0"/>
        <w:jc w:val="center"/>
      </w:pPr>
      <w: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Sana Biotechnology, Inc.</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pPr>
      <w:r>
        <w:t> </w:t>
      </w:r>
    </w:p>
    <w:p>
      <w:pPr>
        <w:pStyle w:val="TextBody"/>
        <w:bidi w:val="0"/>
        <w:jc w:val="left"/>
      </w:pPr>
      <w:r>
        <w:t> </w:t>
      </w:r>
    </w:p>
    <w:tbl>
      <w:tblPr>
        <w:tblW w:w="4112" w:type="dxa"/>
        <w:jc w:val="left"/>
        <w:tblInd w:w="0" w:type="dxa"/>
        <w:tblLayout w:type="fixed"/>
        <w:tblCellMar>
          <w:top w:w="28" w:type="dxa"/>
          <w:left w:w="28" w:type="dxa"/>
          <w:bottom w:w="28" w:type="dxa"/>
          <w:right w:w="28" w:type="dxa"/>
        </w:tblCellMar>
      </w:tblPr>
      <w:tblGrid>
        <w:gridCol w:w="2866"/>
        <w:gridCol w:w="1246"/>
      </w:tblGrid>
      <w:tr>
        <w:tc>
          <w:tcPr>
            <w:tcW w:w="286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83-1381173</w:t>
            </w:r>
          </w:p>
        </w:tc>
      </w:tr>
      <w:tr>
        <w:tc>
          <w:tcPr>
            <w:tcW w:w="28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c>
          <w:tcPr>
            <w:tcW w:w="2866" w:type="dxa"/>
            <w:tcBorders/>
            <w:tcMar>
              <w:top w:w="0" w:type="dxa"/>
              <w:left w:w="0" w:type="dxa"/>
              <w:bottom w:w="0" w:type="dxa"/>
              <w:right w:w="0" w:type="dxa"/>
            </w:tcMar>
            <w:vAlign w:val="center"/>
          </w:tcPr>
          <w:p>
            <w:pPr>
              <w:pStyle w:val="TableContents"/>
              <w:bidi w:val="0"/>
              <w:spacing w:before="100" w:after="15"/>
              <w:jc w:val="center"/>
              <w:rPr>
                <w:rFonts w:ascii="Times New Roman" w:hAnsi="Times New Roman"/>
                <w:b/>
                <w:color w:val="000000"/>
                <w:sz w:val="20"/>
              </w:rPr>
            </w:pPr>
            <w:r>
              <w:rPr>
                <w:rFonts w:ascii="Times New Roman" w:hAnsi="Times New Roman"/>
                <w:b/>
                <w:color w:val="000000"/>
                <w:sz w:val="20"/>
              </w:rPr>
              <w:t>188 East Blaine Street, Suite 350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Seattle, Washington</w:t>
            </w:r>
          </w:p>
        </w:tc>
        <w:tc>
          <w:tcPr>
            <w:tcW w:w="1246"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b/>
                <w:color w:val="000000"/>
                <w:sz w:val="20"/>
              </w:rPr>
            </w:pPr>
            <w:r>
              <w:rPr>
                <w:rFonts w:ascii="Times New Roman" w:hAnsi="Times New Roman"/>
                <w:b/>
                <w:color w:val="000000"/>
                <w:sz w:val="20"/>
              </w:rPr>
              <w:t>98102</w:t>
            </w:r>
          </w:p>
        </w:tc>
      </w:tr>
      <w:tr>
        <w:tc>
          <w:tcPr>
            <w:tcW w:w="286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(Zip Code)</w:t>
            </w:r>
          </w:p>
        </w:tc>
      </w:tr>
      <w:tr>
        <w:tc>
          <w:tcPr>
            <w:tcW w:w="4112" w:type="dxa"/>
            <w:gridSpan w:val="2"/>
            <w:tcBorders/>
            <w:tcMar>
              <w:top w:w="0" w:type="dxa"/>
              <w:left w:w="0" w:type="dxa"/>
              <w:bottom w:w="0" w:type="dxa"/>
              <w:right w:w="0" w:type="dxa"/>
            </w:tcMar>
            <w:vAlign w:val="center"/>
          </w:tcPr>
          <w:p>
            <w:pPr>
              <w:pStyle w:val="TableContents"/>
              <w:bidi w:val="0"/>
              <w:spacing w:before="100" w:after="283"/>
              <w:jc w:val="center"/>
            </w:pPr>
            <w:r>
              <w:t> </w:t>
            </w:r>
          </w:p>
        </w:tc>
      </w:tr>
    </w:tbl>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Registrant’s telephone number, including area code: (206) 701-7914</w:t>
      </w:r>
    </w:p>
    <w:p>
      <w:pPr>
        <w:pStyle w:val="TextBody"/>
        <w:pBdr>
          <w:bottom w:val="single" w:sz="4" w:space="1" w:color="000000"/>
        </w:pBdr>
        <w:bidi w:val="0"/>
        <w:jc w:val="center"/>
      </w:pPr>
      <w:r>
        <w:t> </w:t>
      </w:r>
    </w:p>
    <w:p>
      <w:pPr>
        <w:pStyle w:val="TextBody"/>
        <w:bidi w:val="0"/>
        <w:jc w:val="left"/>
        <w:rPr>
          <w:rFonts w:ascii="Times New Roman" w:hAnsi="Times New Roman"/>
          <w:color w:val="000000"/>
          <w:sz w:val="18"/>
        </w:rPr>
      </w:pPr>
      <w:r>
        <w:rPr>
          <w:rFonts w:ascii="Times New Roman" w:hAnsi="Times New Roman"/>
          <w:color w:val="000000"/>
          <w:sz w:val="18"/>
        </w:rPr>
        <w:t xml:space="preserve">Securities registered pursuant to Section 12(b) of the Act: </w:t>
      </w:r>
    </w:p>
    <w:p>
      <w:pPr>
        <w:pStyle w:val="TextBody"/>
        <w:bidi w:val="0"/>
        <w:jc w:val="left"/>
      </w:pPr>
      <w:r>
        <w:t> </w:t>
      </w:r>
    </w:p>
    <w:tbl>
      <w:tblPr>
        <w:tblW w:w="8350" w:type="dxa"/>
        <w:jc w:val="left"/>
        <w:tblInd w:w="0" w:type="dxa"/>
        <w:tblLayout w:type="fixed"/>
        <w:tblCellMar>
          <w:top w:w="28" w:type="dxa"/>
          <w:left w:w="28" w:type="dxa"/>
          <w:bottom w:w="28" w:type="dxa"/>
          <w:right w:w="28" w:type="dxa"/>
        </w:tblCellMar>
      </w:tblPr>
      <w:tblGrid>
        <w:gridCol w:w="3286"/>
        <w:gridCol w:w="146"/>
        <w:gridCol w:w="1456"/>
        <w:gridCol w:w="146"/>
        <w:gridCol w:w="3316"/>
      </w:tblGrid>
      <w:t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pPr>
            <w: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pPr>
            <w: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SANA</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The </w:t>
            </w:r>
            <w:r>
              <w:rPr>
                <w:rFonts w:ascii="Times New Roman" w:hAnsi="Times New Roman"/>
                <w:color w:val="000000"/>
                <w:sz w:val="18"/>
              </w:rPr>
              <w:t>Nasdaq Stock Market LLC</w:t>
            </w:r>
          </w:p>
        </w:tc>
      </w:tr>
    </w:tbl>
    <w:p>
      <w:pPr>
        <w:pStyle w:val="TextBody"/>
        <w:bidi w:val="0"/>
        <w:spacing w:before="100" w:after="283"/>
        <w:jc w:val="left"/>
        <w:rPr>
          <w:rFonts w:ascii="Times New Roman" w:hAnsi="Times New Roman"/>
          <w:color w:val="000000"/>
          <w:sz w:val="18"/>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00" w:after="283"/>
        <w:jc w:val="left"/>
        <w:rPr>
          <w:rFonts w:ascii="Times New Roman" w:hAnsi="Times New Roman"/>
          <w:color w:val="000000"/>
          <w:sz w:val="18"/>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10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pPr>
      <w: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c>
          <w:tcPr>
            <w:tcW w:w="2056" w:type="dxa"/>
            <w:tcBorders/>
            <w:tcMar>
              <w:top w:w="0" w:type="dxa"/>
              <w:left w:w="0" w:type="dxa"/>
              <w:bottom w:w="0" w:type="dxa"/>
              <w:right w:w="0" w:type="dxa"/>
            </w:tcMar>
            <w:vAlign w:val="center"/>
          </w:tcPr>
          <w:p>
            <w:pPr>
              <w:pStyle w:val="TableContents"/>
              <w:bidi w:val="0"/>
              <w:spacing w:before="0" w:after="283"/>
              <w:jc w:val="left"/>
            </w:pPr>
            <w: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pPr>
            <w:r>
              <w:t> </w:t>
            </w:r>
          </w:p>
        </w:tc>
      </w:tr>
      <w:t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c>
          <w:tcPr>
            <w:tcW w:w="205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1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02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61" w:type="dxa"/>
            <w:tcBorders/>
            <w:tcMar>
              <w:top w:w="0" w:type="dxa"/>
              <w:left w:w="0" w:type="dxa"/>
              <w:bottom w:w="0" w:type="dxa"/>
              <w:right w:w="0" w:type="dxa"/>
            </w:tcMar>
            <w:vAlign w:val="center"/>
          </w:tcPr>
          <w:p>
            <w:pPr>
              <w:pStyle w:val="TableContents"/>
              <w:bidi w:val="0"/>
              <w:spacing w:before="0" w:after="283"/>
              <w:jc w:val="left"/>
            </w:pPr>
            <w:r>
              <w:t> </w:t>
            </w:r>
          </w:p>
        </w:tc>
      </w:tr>
      <w:t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02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61" w:type="dxa"/>
            <w:tcBorders/>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00" w:after="283"/>
        <w:jc w:val="left"/>
        <w:rPr>
          <w:rFonts w:ascii="Times New Roman" w:hAnsi="Times New Roman"/>
          <w:color w:val="000000"/>
          <w:sz w:val="18"/>
        </w:rPr>
      </w:pPr>
      <w:r>
        <w:rPr>
          <w:rFonts w:ascii="Times New Roman" w:hAnsi="Times New Roman"/>
          <w:color w:val="000000"/>
          <w:sz w:val="18"/>
        </w:rPr>
        <w:t>Indicate by check mark whether the registrant is a shell company (as defined in Rule 12b-2 of the Exchange Act). Yes ☐ No ☒</w:t>
      </w:r>
    </w:p>
    <w:p>
      <w:pPr>
        <w:pStyle w:val="TextBody"/>
        <w:bidi w:val="0"/>
        <w:jc w:val="left"/>
      </w:pPr>
      <w:r>
        <w:t> </w:t>
      </w:r>
    </w:p>
    <w:p>
      <w:pPr>
        <w:pStyle w:val="TextBody"/>
        <w:bidi w:val="0"/>
        <w:jc w:val="left"/>
        <w:rPr>
          <w:rFonts w:ascii="Times New Roman" w:hAnsi="Times New Roman"/>
          <w:color w:val="000000"/>
          <w:sz w:val="18"/>
        </w:rPr>
      </w:pPr>
      <w:r>
        <w:rPr>
          <w:rFonts w:ascii="Times New Roman" w:hAnsi="Times New Roman"/>
          <w:color w:val="000000"/>
          <w:sz w:val="18"/>
        </w:rPr>
        <w:t>As of October 29, 2026, the registrant had 299,634,951 shares of common stock, $0.0001 par value per share, outstanding.</w:t>
      </w:r>
    </w:p>
    <w:p>
      <w:pPr>
        <w:pStyle w:val="TextBody"/>
        <w:pBdr>
          <w:bottom w:val="double" w:sz="6" w:space="1" w:color="000000"/>
        </w:pBdr>
        <w:bidi w:val="0"/>
        <w:jc w:val="left"/>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pPr>
      <w:r>
        <w:t> </w:t>
      </w:r>
    </w:p>
    <w:tbl>
      <w:tblPr>
        <w:tblW w:w="8823" w:type="dxa"/>
        <w:jc w:val="left"/>
        <w:tblInd w:w="0" w:type="dxa"/>
        <w:tblLayout w:type="fixed"/>
        <w:tblCellMar>
          <w:top w:w="28" w:type="dxa"/>
          <w:left w:w="28" w:type="dxa"/>
          <w:bottom w:w="28" w:type="dxa"/>
          <w:right w:w="28" w:type="dxa"/>
        </w:tblCellMar>
      </w:tblPr>
      <w:tblGrid>
        <w:gridCol w:w="886"/>
        <w:gridCol w:w="7366"/>
        <w:gridCol w:w="571"/>
      </w:tblGrid>
      <w:t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part_i_financial_information">
              <w:r>
                <w:rPr>
                  <w:rStyle w:val="InternetLink"/>
                  <w:rFonts w:ascii="Times New Roman" w:hAnsi="Times New Roman"/>
                  <w:b/>
                  <w:color w:val="0000FF"/>
                  <w:sz w:val="20"/>
                  <w:u w:val="single"/>
                </w:rPr>
                <w:t>FINANCIAL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1_financial_statements">
              <w:r>
                <w:rPr>
                  <w:rStyle w:val="InternetLink"/>
                  <w:rFonts w:ascii="Times New Roman" w:hAnsi="Times New Roman"/>
                  <w:color w:val="0000FF"/>
                  <w:sz w:val="20"/>
                  <w:u w:val="single"/>
                </w:rPr>
                <w:t>Financial Statements (Unaudited)</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condensed_consolidated_balance_sheets">
              <w:r>
                <w:rPr>
                  <w:rStyle w:val="InternetLink"/>
                  <w:rFonts w:ascii="Times New Roman" w:hAnsi="Times New Roman"/>
                  <w:color w:val="0000FF"/>
                  <w:sz w:val="20"/>
                  <w:u w:val="single"/>
                </w:rPr>
                <w:t>Condensed Consolidated Balance Sheets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condensed_consolidated_statements_operat">
              <w:r>
                <w:rPr>
                  <w:rStyle w:val="InternetLink"/>
                  <w:rFonts w:ascii="Times New Roman" w:hAnsi="Times New Roman"/>
                  <w:color w:val="0000FF"/>
                  <w:sz w:val="20"/>
                  <w:u w:val="single"/>
                </w:rPr>
                <w:t>Condensed Consolidated Statements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condensed_consolidated_statements_compre">
              <w:r>
                <w:rPr>
                  <w:rStyle w:val="InternetLink"/>
                  <w:rFonts w:ascii="Times New Roman" w:hAnsi="Times New Roman"/>
                  <w:color w:val="0000FF"/>
                  <w:sz w:val="20"/>
                  <w:u w:val="single"/>
                </w:rPr>
                <w:t>Condensed Consolidated Statements of Comprehensive Loss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condensed_consolidated_statement_stockho">
              <w:r>
                <w:rPr>
                  <w:rStyle w:val="InternetLink"/>
                  <w:rFonts w:ascii="Times New Roman" w:hAnsi="Times New Roman"/>
                  <w:color w:val="0000FF"/>
                  <w:sz w:val="20"/>
                  <w:u w:val="single"/>
                </w:rPr>
                <w:t>Condensed Consolidated Statements of Stockholders’ Equity</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condensed_consolidated_statements_cash_f">
              <w:r>
                <w:rPr>
                  <w:rStyle w:val="InternetLink"/>
                  <w:rFonts w:ascii="Times New Roman" w:hAnsi="Times New Roman"/>
                  <w:color w:val="0000FF"/>
                  <w:sz w:val="20"/>
                  <w:u w:val="single"/>
                </w:rPr>
                <w:t>Condensed Consolidated Statements of Cash Flows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notes_to_condensed_consolidated_financia">
              <w:r>
                <w:rPr>
                  <w:rStyle w:val="InternetLink"/>
                  <w:rFonts w:ascii="Times New Roman" w:hAnsi="Times New Roman"/>
                  <w:color w:val="0000FF"/>
                  <w:sz w:val="20"/>
                  <w:u w:val="single"/>
                </w:rPr>
                <w:t>Notes to Condensed Consolidated Financial Statements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4_controls_procedures">
              <w:r>
                <w:rPr>
                  <w:rStyle w:val="InternetLink"/>
                  <w:rFonts w:ascii="Times New Roman" w:hAnsi="Times New Roman"/>
                  <w:color w:val="0000FF"/>
                  <w:sz w:val="20"/>
                  <w:u w:val="single"/>
                </w:rPr>
                <w:t>Controls and Procedures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part_ii_or_information">
              <w:r>
                <w:rPr>
                  <w:rStyle w:val="InternetLink"/>
                  <w:rFonts w:ascii="Times New Roman" w:hAnsi="Times New Roman"/>
                  <w:b/>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1_legal_proceedings">
              <w:r>
                <w:rPr>
                  <w:rStyle w:val="InternetLink"/>
                  <w:rFonts w:ascii="Times New Roman" w:hAnsi="Times New Roman"/>
                  <w:color w:val="0000FF"/>
                  <w:sz w:val="20"/>
                  <w:u w:val="single"/>
                </w:rPr>
                <w:t>Legal Proceedings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1a_risk_factors">
              <w:r>
                <w:rPr>
                  <w:rStyle w:val="InternetLink"/>
                  <w:rFonts w:ascii="Times New Roman" w:hAnsi="Times New Roman"/>
                  <w:color w:val="0000FF"/>
                  <w:sz w:val="20"/>
                  <w:u w:val="single"/>
                </w:rPr>
                <w:t>Risk Factors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3_defaults_upon_senior_securities">
              <w:r>
                <w:rPr>
                  <w:rStyle w:val="InternetLink"/>
                  <w:rFonts w:ascii="Times New Roman" w:hAnsi="Times New Roman"/>
                  <w:color w:val="0000FF"/>
                  <w:sz w:val="20"/>
                  <w:u w:val="single"/>
                </w:rPr>
                <w:t>Defaults Upon Senior Securities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4_mine_safety_disclosures">
              <w:r>
                <w:rPr>
                  <w:rStyle w:val="InternetLink"/>
                  <w:rFonts w:ascii="Times New Roman" w:hAnsi="Times New Roman"/>
                  <w:color w:val="0000FF"/>
                  <w:sz w:val="20"/>
                  <w:u w:val="single"/>
                </w:rPr>
                <w:t>Mine Safety Disclosures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5_o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6_exhibits">
              <w:r>
                <w:rPr>
                  <w:rStyle w:val="InternetLink"/>
                  <w:rFonts w:ascii="Times New Roman" w:hAnsi="Times New Roman"/>
                  <w:color w:val="0000FF"/>
                  <w:sz w:val="20"/>
                  <w:u w:val="single"/>
                </w:rPr>
                <w:t>Exhibits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signatures">
              <w:r>
                <w:rPr>
                  <w:rStyle w:val="InternetLink"/>
                  <w:rFonts w:ascii="Times New Roman" w:hAnsi="Times New Roman"/>
                  <w:color w:val="0000FF"/>
                  <w:sz w:val="20"/>
                  <w:u w:val="single"/>
                </w:rPr>
                <w:t>Signatures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r>
    </w:tbl>
    <w:p>
      <w:pPr>
        <w:pStyle w:val="TextBody"/>
        <w:bidi w:val="0"/>
        <w:jc w:val="left"/>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(Quarterly Report) contains forward-looking statements that involve substantial risks and uncertainties. All statements other than statements of historical facts contained in this Quarterly Report could be deemed forward-looking statements, including those statements highlighted below. In some cases, you can identify these statements by forward-looking words such as “aim,” “anticipate,” “believe,” “continue,” “could,” “estimate,” “expect,” “intend,” “may,” “might,” “plan,” “potential,” “predict,” “should,” “would,” or “will,” the negative of these terms, and other comparable terminology. These forward-looking statements, which are subject to risks,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regarding the potential market size and size of the potential patient populations for our product candidates and any future product candidates, if approved for commercial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clinical and regulatory development plans;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with regard to our preclinical studies, clinical trials, regulatory submissions, and research and development programs, including the impact, timing, and availability of data from such studies and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commencement and advancement of future preclinical studies, clinical trials, and research and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acquire, discover, and develop product candidates and timely advance them into and through clinical data readouts and successful completion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potential safety, efficacy, or clinical utility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business strategy following the implementation of portfolio prioritizations and adjustments in our business strategy, including with respect to our research and development focus on our remaining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intentions with respect to and our ability to establish collaborations or partnerships;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or likelihood of regulatory filings and approvals for our product candidates, including regulatory submissions for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commercialization, marketing, and manufacturing expectations, including with respect to our manufacturing capabilities and the timing thereof;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impact of future regulatory, judicial, legislative, or other governmental changes or developments in the United States and foreign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intentions with respect to the commercialization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pricing and reimbursement of our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implementation of our business model and strategic plans for our business and product candidates, including additional indications that we may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effectively manage our future operations, including our ability to retain and recruit personnel and maintain our culture;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protection we are able to establish and maintain for intellectual property rights covering our product candidates and technologies, including the projected terms of patent protection;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estimates of our expenses, future revenue, capital requirements, needs for additional financing, and ability to obtain additional capital;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condition, including the sufficiency of our existing cash, cash equivalents, and marketable securities to finance all of our operations, and our ability to continue as a going concern;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with respect to our facilities and associated lease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performance of suppliers, manufacturers, and other third parties we may engage;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financial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regarding the duration for which we will be an emerging growth company under the Jumpstart Our Business Startups Act of 2012 (JOBS Act);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and projections relating to our competitors and our industry, including competing products.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based these forward-looking statements largely on our current expectations, estimates, forecasts, and projections about future events, our business, the industry in which we operate,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in this Quarterly Report, we cannot guarantee that the future results, levels of activity, performance, or events and circumstances reflected in the forward-looking statements will be achieved or occur in a timely manner or at all. You should refer to the sections titled “Risk Factors” and “Management’s Discussion and Analysis of Financial Condition and Results of Operations” for a discussion of important factors that may cause our actual results to differ materially from those expressed or implied by our forward-looking statements. Other sections of this Quarterly Report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 Except as required by law, we undertake no obligation to publicly update any forward-looking statements, whether as a result of new information, future events, or otherwise.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should not unduly rely upon these statements.</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b/>
          <w:color w:val="000000"/>
          <w:sz w:val="20"/>
          <w:u w:val="single"/>
        </w:rPr>
      </w:pPr>
      <w:bookmarkStart w:id="2" w:name="part_i_financial_information"/>
      <w:bookmarkEnd w:id="2"/>
      <w:r>
        <w:rPr>
          <w:rFonts w:ascii="Times New Roman" w:hAnsi="Times New Roman"/>
          <w:b/>
          <w:color w:val="000000"/>
          <w:sz w:val="20"/>
          <w:u w:val="single"/>
        </w:rPr>
        <w:t>PART I. FINANCIAL INFORMATION</w:t>
      </w:r>
    </w:p>
    <w:p>
      <w:pPr>
        <w:pStyle w:val="TextBody"/>
        <w:bidi w:val="0"/>
        <w:spacing w:before="12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Sana Biotechnology, Inc.</w:t>
      </w:r>
    </w:p>
    <w:p>
      <w:pPr>
        <w:pStyle w:val="Heading1"/>
        <w:bidi w:val="0"/>
        <w:jc w:val="center"/>
        <w:rPr>
          <w:rFonts w:ascii="Times New Roman" w:hAnsi="Times New Roman"/>
          <w:color w:val="000000"/>
          <w:sz w:val="20"/>
        </w:rPr>
      </w:pPr>
      <w:bookmarkStart w:id="4" w:name="condensed_consolidated_balance_sheets"/>
      <w:bookmarkEnd w:id="4"/>
      <w:r>
        <w:rPr>
          <w:rFonts w:ascii="Times New Roman" w:hAnsi="Times New Roman"/>
          <w:color w:val="000000"/>
          <w:sz w:val="20"/>
        </w:rPr>
        <w:t>Condensed Consolidated Balance Sheets</w:t>
      </w:r>
    </w:p>
    <w:p>
      <w:pPr>
        <w:pStyle w:val="Heading1"/>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6511"/>
        <w:gridCol w:w="146"/>
        <w:gridCol w:w="233"/>
        <w:gridCol w:w="1097"/>
        <w:gridCol w:w="166"/>
        <w:gridCol w:w="146"/>
        <w:gridCol w:w="230"/>
        <w:gridCol w:w="1083"/>
        <w:gridCol w:w="593"/>
      </w:tblGrid>
      <w:tr>
        <w:tc>
          <w:tcPr>
            <w:tcW w:w="6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c>
          <w:tcPr>
            <w:tcW w:w="65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5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30"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1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6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3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1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6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3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1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6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71,870</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66,512</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6,099</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pPr>
            <w:r>
              <w:t> </w:t>
            </w:r>
          </w:p>
        </w:tc>
      </w:tr>
      <w:tr>
        <w:tc>
          <w:tcPr>
            <w:tcW w:w="65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148,676</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26,906</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38,313</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59,195</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140,627</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376,127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416,890</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3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1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6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3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1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6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13,240</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8,679</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14,938</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40,200</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pPr>
            <w:r>
              <w:t> </w:t>
            </w:r>
          </w:p>
        </w:tc>
      </w:tr>
      <w:tr>
        <w:tc>
          <w:tcPr>
            <w:tcW w:w="65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78,726</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63,924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 consideration,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83,518</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Success payment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19,238</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10,600</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65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256,006</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Commitments and contingencies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3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1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6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3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1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6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$0.0001 par value; 50,000 shares authorized; zero shares issued and outstanding as of September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$0.0001 par value; 750,000 shares authorized; 299,521 and 266,732 shares issued and outstanding as of September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2,009,845</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(1,939,460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(1,849,016</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160,884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376,127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416,890</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w:t>
      </w:r>
    </w:p>
    <w:p>
      <w:pPr>
        <w:pStyle w:val="TextBody"/>
        <w:bidi w:val="0"/>
        <w:jc w:val="center"/>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Sana Biotechnology, Inc.</w:t>
      </w:r>
    </w:p>
    <w:p>
      <w:pPr>
        <w:pStyle w:val="TextBody"/>
        <w:bidi w:val="0"/>
        <w:jc w:val="center"/>
        <w:rPr>
          <w:rFonts w:ascii="Times New Roman" w:hAnsi="Times New Roman"/>
          <w:b/>
          <w:color w:val="000000"/>
          <w:sz w:val="20"/>
        </w:rPr>
      </w:pPr>
      <w:bookmarkStart w:id="5" w:name="condensed_consolidated_statements_operat"/>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4204"/>
        <w:gridCol w:w="146"/>
        <w:gridCol w:w="227"/>
        <w:gridCol w:w="844"/>
        <w:gridCol w:w="179"/>
        <w:gridCol w:w="157"/>
        <w:gridCol w:w="227"/>
        <w:gridCol w:w="844"/>
        <w:gridCol w:w="166"/>
        <w:gridCol w:w="146"/>
        <w:gridCol w:w="221"/>
        <w:gridCol w:w="818"/>
        <w:gridCol w:w="173"/>
        <w:gridCol w:w="152"/>
        <w:gridCol w:w="221"/>
        <w:gridCol w:w="881"/>
        <w:gridCol w:w="599"/>
      </w:tblGrid>
      <w:tr>
        <w:tc>
          <w:tcPr>
            <w:tcW w:w="4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c>
          <w:tcPr>
            <w:tcW w:w="420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20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7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7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0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2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33,930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93,378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97,056</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2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related success payments and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(63,379</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(31,033</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15,343</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2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33,183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32,110</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2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long-lived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44,611</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42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95,528</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189,120</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18,506</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(95,528</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(189,120</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2,572</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20,401</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(90,444</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(185,341</w:t>
            </w:r>
          </w:p>
        </w:tc>
        <w:tc>
          <w:tcPr>
            <w:tcW w:w="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common share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5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common shares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307,002</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293,286</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245,580</w:t>
            </w:r>
          </w:p>
        </w:tc>
        <w:tc>
          <w:tcPr>
            <w:tcW w:w="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common share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5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common shares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308,790</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293,286</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245,580</w:t>
            </w:r>
          </w:p>
        </w:tc>
        <w:tc>
          <w:tcPr>
            <w:tcW w:w="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center"/>
        <w:rPr>
          <w:rFonts w:ascii="Times New Roman" w:hAnsi="Times New Roman"/>
          <w:sz w:val="20"/>
        </w:rPr>
      </w:pPr>
      <w:r>
        <w:rPr>
          <w:rFonts w:ascii="Times New Roman" w:hAnsi="Times New Roman"/>
          <w:i/>
          <w:color w:val="000000"/>
          <w:sz w:val="20"/>
        </w:rPr>
        <w:t>See accompanying notes.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Sana Biotechnology, Inc.</w:t>
      </w:r>
    </w:p>
    <w:p>
      <w:pPr>
        <w:pStyle w:val="TextBody"/>
        <w:bidi w:val="0"/>
        <w:jc w:val="center"/>
        <w:rPr>
          <w:rFonts w:ascii="Times New Roman" w:hAnsi="Times New Roman"/>
          <w:b/>
          <w:color w:val="000000"/>
          <w:sz w:val="20"/>
        </w:rPr>
      </w:pPr>
      <w:bookmarkStart w:id="6" w:name="condensed_consolidated_statements_compre"/>
      <w:bookmarkEnd w:id="6"/>
      <w:r>
        <w:rPr>
          <w:rFonts w:ascii="Times New Roman" w:hAnsi="Times New Roman"/>
          <w:b/>
          <w:color w:val="000000"/>
          <w:sz w:val="20"/>
        </w:rPr>
        <w:t>Condensed Consolidated Statements of Comprehensive Income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pPr>
      <w:r>
        <w:t> </w:t>
      </w:r>
    </w:p>
    <w:tbl>
      <w:tblPr>
        <w:tblW w:w="10205" w:type="dxa"/>
        <w:jc w:val="left"/>
        <w:tblInd w:w="0" w:type="dxa"/>
        <w:tblLayout w:type="fixed"/>
        <w:tblCellMar>
          <w:top w:w="28" w:type="dxa"/>
          <w:left w:w="28" w:type="dxa"/>
          <w:bottom w:w="28" w:type="dxa"/>
          <w:right w:w="28" w:type="dxa"/>
        </w:tblCellMar>
      </w:tblPr>
      <w:tblGrid>
        <w:gridCol w:w="4078"/>
        <w:gridCol w:w="246"/>
        <w:gridCol w:w="257"/>
        <w:gridCol w:w="825"/>
        <w:gridCol w:w="201"/>
        <w:gridCol w:w="177"/>
        <w:gridCol w:w="257"/>
        <w:gridCol w:w="898"/>
        <w:gridCol w:w="166"/>
        <w:gridCol w:w="146"/>
        <w:gridCol w:w="233"/>
        <w:gridCol w:w="814"/>
        <w:gridCol w:w="183"/>
        <w:gridCol w:w="161"/>
        <w:gridCol w:w="233"/>
        <w:gridCol w:w="931"/>
        <w:gridCol w:w="399"/>
      </w:tblGrid>
      <w:tr>
        <w:tc>
          <w:tcPr>
            <w:tcW w:w="407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c>
          <w:tcPr>
            <w:tcW w:w="407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5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07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20,401</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(90,444</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(185,341</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0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marketable securities,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0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comprehensive income (loss)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20,363</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(90,576</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(185,334</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Sana Biotechnology, Inc.</w:t>
      </w:r>
    </w:p>
    <w:p>
      <w:pPr>
        <w:pStyle w:val="TextBody"/>
        <w:bidi w:val="0"/>
        <w:jc w:val="center"/>
      </w:pPr>
      <w:r>
        <w:t> </w:t>
      </w:r>
    </w:p>
    <w:p>
      <w:pPr>
        <w:pStyle w:val="TextBody"/>
        <w:bidi w:val="0"/>
        <w:jc w:val="center"/>
        <w:rPr>
          <w:rFonts w:ascii="Times New Roman" w:hAnsi="Times New Roman"/>
          <w:b/>
          <w:color w:val="000000"/>
          <w:sz w:val="20"/>
        </w:rPr>
      </w:pPr>
      <w:bookmarkStart w:id="7" w:name="condensed_consolidated_statement_stockho"/>
      <w:bookmarkEnd w:id="7"/>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pPr>
      <w:r>
        <w:t> </w:t>
      </w:r>
    </w:p>
    <w:tbl>
      <w:tblPr>
        <w:tblW w:w="10205" w:type="dxa"/>
        <w:jc w:val="left"/>
        <w:tblInd w:w="0" w:type="dxa"/>
        <w:tblLayout w:type="fixed"/>
        <w:tblCellMar>
          <w:top w:w="28" w:type="dxa"/>
          <w:left w:w="28" w:type="dxa"/>
          <w:bottom w:w="28" w:type="dxa"/>
          <w:right w:w="28" w:type="dxa"/>
        </w:tblCellMar>
      </w:tblPr>
      <w:tblGrid>
        <w:gridCol w:w="2887"/>
        <w:gridCol w:w="146"/>
        <w:gridCol w:w="146"/>
        <w:gridCol w:w="691"/>
        <w:gridCol w:w="146"/>
        <w:gridCol w:w="146"/>
        <w:gridCol w:w="232"/>
        <w:gridCol w:w="339"/>
        <w:gridCol w:w="146"/>
        <w:gridCol w:w="146"/>
        <w:gridCol w:w="196"/>
        <w:gridCol w:w="826"/>
        <w:gridCol w:w="166"/>
        <w:gridCol w:w="146"/>
        <w:gridCol w:w="316"/>
        <w:gridCol w:w="705"/>
        <w:gridCol w:w="166"/>
        <w:gridCol w:w="146"/>
        <w:gridCol w:w="196"/>
        <w:gridCol w:w="886"/>
        <w:gridCol w:w="166"/>
        <w:gridCol w:w="146"/>
        <w:gridCol w:w="200"/>
        <w:gridCol w:w="707"/>
        <w:gridCol w:w="212"/>
      </w:tblGrid>
      <w:tr>
        <w:tc>
          <w:tcPr>
            <w:tcW w:w="28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c>
          <w:tcPr>
            <w:tcW w:w="288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8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2,009,845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(1,849,016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160,884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Fees incurred related to 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2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Unrealized loss on marketable </w:t>
              <w:br/>
              <w:t>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2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(47,210</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2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269,817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2,015,441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(1,896,226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119,240</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net of issuance costs of $1,252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89,752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allocated to stock purchase option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related to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Unrealized loss on marketable </w:t>
              <w:br/>
              <w:t>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2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(63,635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(63,635</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2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299,306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2,114,465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(1,959,861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154,568</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Fees incurred related to 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2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Unrealized loss on marketable </w:t>
              <w:br/>
              <w:t>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2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20,401</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September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299,521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2,119,898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(1,939,460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180,364</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center"/>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pPr>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2779"/>
        <w:gridCol w:w="146"/>
        <w:gridCol w:w="146"/>
        <w:gridCol w:w="691"/>
        <w:gridCol w:w="146"/>
        <w:gridCol w:w="146"/>
        <w:gridCol w:w="232"/>
        <w:gridCol w:w="339"/>
        <w:gridCol w:w="146"/>
        <w:gridCol w:w="146"/>
        <w:gridCol w:w="196"/>
        <w:gridCol w:w="826"/>
        <w:gridCol w:w="166"/>
        <w:gridCol w:w="146"/>
        <w:gridCol w:w="369"/>
        <w:gridCol w:w="652"/>
        <w:gridCol w:w="166"/>
        <w:gridCol w:w="146"/>
        <w:gridCol w:w="196"/>
        <w:gridCol w:w="886"/>
        <w:gridCol w:w="166"/>
        <w:gridCol w:w="146"/>
        <w:gridCol w:w="224"/>
        <w:gridCol w:w="791"/>
        <w:gridCol w:w="212"/>
      </w:tblGrid>
      <w:tr>
        <w:tc>
          <w:tcPr>
            <w:tcW w:w="2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c>
          <w:tcPr>
            <w:tcW w:w="277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77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7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223,923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1,855,318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(1,604,850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250,504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Fees incurred related to 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27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7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7,022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Unrealized loss on marketable </w:t>
              <w:br/>
              <w:t>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27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(49,389</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2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225,463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1,863,295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(1,654,239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209,079</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7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from at the market offering, net of issuance costs of $174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7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7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related to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6,629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7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(93,800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(93,800</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2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230,510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1,870,572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(1,748,039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122,556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7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from at the market offering, net of issuance costs of $886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28,625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from common stock financings, net of issuance costs of $5,625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80,625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7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7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Unrealized gain on marketable </w:t>
              <w:br/>
              <w:t>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7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(42,152</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2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262,264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1,985,452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(1,790,191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195,308</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pPr>
      <w: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Sana Biotechnology, Inc.</w:t>
      </w:r>
    </w:p>
    <w:p>
      <w:pPr>
        <w:pStyle w:val="TextBody"/>
        <w:bidi w:val="0"/>
        <w:jc w:val="center"/>
        <w:rPr>
          <w:rFonts w:ascii="Times New Roman" w:hAnsi="Times New Roman"/>
          <w:b/>
          <w:color w:val="000000"/>
          <w:sz w:val="20"/>
        </w:rPr>
      </w:pPr>
      <w:bookmarkStart w:id="8" w:name="condensed_consolidated_statements_cash_f"/>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pPr>
      <w:r>
        <w:t> </w:t>
      </w:r>
    </w:p>
    <w:tbl>
      <w:tblPr>
        <w:tblW w:w="9785" w:type="dxa"/>
        <w:jc w:val="left"/>
        <w:tblInd w:w="0" w:type="dxa"/>
        <w:tblLayout w:type="fixed"/>
        <w:tblCellMar>
          <w:top w:w="28" w:type="dxa"/>
          <w:left w:w="28" w:type="dxa"/>
          <w:bottom w:w="28" w:type="dxa"/>
          <w:right w:w="28" w:type="dxa"/>
        </w:tblCellMar>
      </w:tblPr>
      <w:tblGrid>
        <w:gridCol w:w="6436"/>
        <w:gridCol w:w="146"/>
        <w:gridCol w:w="226"/>
        <w:gridCol w:w="903"/>
        <w:gridCol w:w="178"/>
        <w:gridCol w:w="156"/>
        <w:gridCol w:w="226"/>
        <w:gridCol w:w="903"/>
        <w:gridCol w:w="611"/>
      </w:tblGrid>
      <w:tr>
        <w:tc>
          <w:tcPr>
            <w:tcW w:w="6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c>
          <w:tcPr>
            <w:tcW w:w="64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4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(90,444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(185,341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6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16,329</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the estimated fair value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the estimated fair value of success payment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(2,672</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expense for 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long-lived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non-cash items,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6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64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64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right-of-use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(8,335</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64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64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(4,582</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6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(108,921</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(111,187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(123,374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(51,209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110,025</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disposal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pPr>
            <w:r>
              <w:t> </w:t>
            </w:r>
          </w:p>
        </w:tc>
        <w:tc>
          <w:tcPr>
            <w:tcW w:w="90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(15,733</w:t>
            </w:r>
          </w:p>
        </w:tc>
        <w:tc>
          <w:tcPr>
            <w:tcW w:w="17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2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pPr>
            <w:r>
              <w:t> </w:t>
            </w:r>
          </w:p>
        </w:tc>
        <w:tc>
          <w:tcPr>
            <w:tcW w:w="90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(23,742</w:t>
            </w:r>
          </w:p>
        </w:tc>
        <w:tc>
          <w:tcPr>
            <w:tcW w:w="6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employee stock purchase plan and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related to common stock financings,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89,622</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109,724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allocated to stock purchase 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payments, net for tenant improvement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6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pPr>
            <w:r>
              <w:t> </w:t>
            </w:r>
          </w:p>
        </w:tc>
        <w:tc>
          <w:tcPr>
            <w:tcW w:w="90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93,454</w:t>
            </w:r>
          </w:p>
        </w:tc>
        <w:tc>
          <w:tcPr>
            <w:tcW w:w="17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pPr>
            <w:r>
              <w:t> </w:t>
            </w:r>
          </w:p>
        </w:tc>
        <w:tc>
          <w:tcPr>
            <w:tcW w:w="1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2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pPr>
            <w:r>
              <w:t> </w:t>
            </w:r>
          </w:p>
        </w:tc>
        <w:tc>
          <w:tcPr>
            <w:tcW w:w="90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111,083</w:t>
            </w:r>
          </w:p>
        </w:tc>
        <w:tc>
          <w:tcPr>
            <w:tcW w:w="6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pPr>
            <w:r>
              <w:t> </w:t>
            </w:r>
          </w:p>
        </w:tc>
      </w:tr>
      <w:t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(31,200</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76,065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131,398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44,865</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107,552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obtained in exchange for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received for tenant improvement allowances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Derecognition of operating lease right-of-use assets for lease modification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(12,018</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p>
      <w:pPr>
        <w:pStyle w:val="TextBody"/>
        <w:bidi w:val="0"/>
        <w:jc w:val="left"/>
      </w:pPr>
      <w: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Sana Biotechnology, Inc.</w:t>
      </w:r>
    </w:p>
    <w:p>
      <w:pPr>
        <w:pStyle w:val="TextBody"/>
        <w:bidi w:val="0"/>
        <w:jc w:val="center"/>
        <w:rPr>
          <w:rFonts w:ascii="Times New Roman" w:hAnsi="Times New Roman"/>
          <w:b/>
          <w:color w:val="000000"/>
          <w:sz w:val="20"/>
        </w:rPr>
      </w:pPr>
      <w:bookmarkStart w:id="9" w:name="notes_to_condensed_consolidated_financia"/>
      <w:bookmarkEnd w:id="9"/>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Heading1"/>
        <w:bidi w:val="0"/>
        <w:spacing w:before="120" w:after="283"/>
        <w:jc w:val="left"/>
        <w:rPr>
          <w:rFonts w:ascii="Times New Roman" w:hAnsi="Times New Roman"/>
          <w:color w:val="000000"/>
          <w:sz w:val="20"/>
        </w:rPr>
      </w:pPr>
      <w:r>
        <w:rPr>
          <w:rFonts w:ascii="Times New Roman" w:hAnsi="Times New Roman"/>
          <w:color w:val="000000"/>
          <w:sz w:val="20"/>
        </w:rPr>
        <w:t xml:space="preserve">1. Organization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Sana Biotechnology, Inc. (the Company or Sana) is a biotechnology company focusing on utilizing engineered cells as medicines. The Company’s operations to date have included identifying and developing potential product candidates, executing preclinical studies, establishing manufacturing capabilities, preparing for and executing clinical trials of its product candidates and supporting clinical trials of product candidates developed using its technologies, acquiring technologies, staffing the Company, business planning, establishing and maintaining the Company’s intellectual property portfolio, raising capital, and providing general and administrative support for these operations. </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a number of risks and uncertainties similar to other biotechnology companies in the development stage, including, but not limited to, those related to the need to obtain adequate additional funding, possible failure of preclinical testing or clinical trials, the need to obtain marketing approval for its product candidates, building its manufacturing capabilities, competitors developing new technological innovations, the need to successfully commercialize and gain market acceptance of the Company’s products, the need to protect the Company’s intellectual property and proprietary technologies, and the need to attract and retain key scientific and management personnel. If the Company does not successfully commercialize or partner any of its product candidates, it will be unable to generate product revenue or achieve profitability. Until such time that the Company can generate significant revenue from product sales, if ever, it expects to finance its operations with the proceeds from additional equity or debt financings or capital obtained in connection with strategic collaborations or licensing or other arrangements. If additional financing is required, the Company may not be able to raise capital on terms acceptable to it or at all.</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In April 2026, the Company entered into a stock purchase agreement (the SPA) with Mayo Clinic pursuant to which Mayo Clinic purchased 7.5 million shares of the Company’s common stock at a price of $3.33 per share for gross proceeds of approximately $25.0 million.</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 March 2026, the Company entered into an amended and restated sales agreement (the Sales Agreement) with TD Securities (USA) LLC (TD Cowen), acting as sales agent, pursuant to which the Company may offer and sell through TD Cowen shares of the Company's common stock from time to time in a series of one or more at the market equity offerings, and filed a prospectus supplement with the Securities and Exchange Commission (SEC) pursuant to which it may offer and sell up to $150.0 million of shares of the Company's common stock pursuant to the Sales Agreement (collectively, the ATM facility). During the quarter ended September 30, 2026, the Company did not sell any shares of common stock under the Sales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2025, the Company completed an underwritten public offering pursuant to which it sold 24.3 million shares of its common stock, including 3.4 million shares pursuant to the full exercise of the underwriters' option to purchase additional shares, and pre-funded warrants to purchase 1.5 million shares of its common stock for net proceeds of approximately $80.6 million, after deducting underwriting discounts and commissions and offering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incurred operating losses each year since inception and expects such losses to continue for the foreseeable future. As of September 30, 2026, the Company had cash, cash equivalents, and marketable securities of $121.7 million, and an accumulated deficit of $1.9 billion, which includes cumulative non-cash charges related to the revaluation of success payment and contingent consideration liabilities of $14.2 million and $44.1 million, respectively. Management has determined that the Company’s current capital resources may not be sufficient to fund its planned operations for at least one year from the date of this Quarterly Report, and there is substantial doubt as to the Company's ability to continue as a going concern. The Company's ability to continue as a going concern will depend on, among other things, its ability to obtain additional funding and appropriately manage the amount of cash used to fund its operations. The Company plans to address this condition through equity or debt offerings or capital obtained in connection with strategic collaborations or licensing or other arrangements. If the Company is unable to obtain such financing, it may be required to pursue alternative sources of capital which may not be available to it on favorable terms, if at all, or significantly modify its operational plans by delaying, reducing the scope of, or ceasing some or all of its research and development programs, or pursue strategic alternatives.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pPr>
      <w:r/>
    </w:p>
    <w:p>
      <w:pPr>
        <w:pStyle w:val="TextBody"/>
        <w:bidi w:val="0"/>
        <w:jc w:val="left"/>
      </w:pPr>
      <w:r>
        <w:t> </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2. Summary of significant accounting policies</w:t>
      </w:r>
    </w:p>
    <w:p>
      <w:pPr>
        <w:pStyle w:val="Heading2"/>
        <w:bidi w:val="0"/>
        <w:spacing w:before="120" w:after="283"/>
        <w:jc w:val="left"/>
        <w:rPr>
          <w:rFonts w:ascii="Times New Roman" w:hAnsi="Times New Roman"/>
          <w:sz w:val="20"/>
        </w:rPr>
      </w:pPr>
      <w:r>
        <w:rPr>
          <w:rFonts w:ascii="Times New Roman" w:hAnsi="Times New Roman"/>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include the accounts of the Company and its wholly-owned subsidiaries and have been prepared in accordance with generally accepted accounting principles in the United States (GAAP). Certain prior period amounts have been reclassified to conform to current period 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condensed consolidated financial statements should be read in conjunction with the audited consolidated financial statements and notes included in the Company’s Annual Report on Form 10-K for the year ended December 31, 2025 filed with the SEC on March 3, 2026 (2025 Annual Report).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significant accounting policies used in the preparation of these condensed consolidated financial statements as of September 30, 2026 and for the three and nine months ended September 30, 2026 and 2025 are consistent with those discussed in Note 2 of the 2025 Annual Report. </w:t>
      </w:r>
    </w:p>
    <w:p>
      <w:pPr>
        <w:pStyle w:val="Heading2"/>
        <w:bidi w:val="0"/>
        <w:spacing w:before="360" w:after="283"/>
        <w:jc w:val="left"/>
        <w:rPr>
          <w:rFonts w:ascii="Times New Roman" w:hAnsi="Times New Roman"/>
          <w:sz w:val="20"/>
        </w:rPr>
      </w:pPr>
      <w:r>
        <w:rPr>
          <w:rFonts w:ascii="Times New Roman" w:hAnsi="Times New Roman"/>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GAAP requires management to make estimates and assumptions that affect the amounts reported in the financial statements and accompanying notes. The Company evaluates its estimates and assumptions on an ongoing basis using historical experience and other factors and adjusts those estimates and assumptions when facts and circumstances dictate. Actual results could materially differ from those estimates. The most significant estimates in the Company’s condensed consolidated financial statements relate to success payment liabilities, contingent consideration, business combinations, accrued expenses, and operating lease right-of-use (ROU) assets and liabilities. </w:t>
      </w:r>
    </w:p>
    <w:p>
      <w:pPr>
        <w:pStyle w:val="Heading2"/>
        <w:bidi w:val="0"/>
        <w:spacing w:before="360" w:after="283"/>
        <w:jc w:val="left"/>
        <w:rPr>
          <w:rFonts w:ascii="Times New Roman" w:hAnsi="Times New Roman"/>
          <w:sz w:val="20"/>
        </w:rPr>
      </w:pPr>
      <w:r>
        <w:rPr>
          <w:rFonts w:ascii="Times New Roman" w:hAnsi="Times New Roman"/>
          <w:i/>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pronouncements are issued by the Financial Accounting Standards Board (FASB) or other standard-setting bodies that the Company adopts as of the specified effective date. Unless otherwise discussed, the Company does not believe that the adoption of any recently issued standards has had or may have a material impact on its condensed consolidated financial statements or disclosures.</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In December 2025, the FASB issued ASU 2025</w:t>
        <w:noBreakHyphen/>
        <w:t>12 Codification Improvements, which includes amendments intended to clarify, correct, or improve various topics in the FASB Accounting Standards Codification. This ASU is effective for annual reporting periods beginning after December 15, 2026, and interim periods within those annual reporting periods. Early adoption is permitted. The Company is currently evaluating the impact of ASU 2025-12, however, adoption of this ASU is not expected to have a material impact on the Company’s consolidated financial statements or related disclosures.</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 November 2024, the FASB issued ASU 2024-03 Income Statement (Subtopic 220-40) Reporting Comprehensive Income – Expense Disaggregation Disclosures, which requires disclosure of disaggregated information about specific income statement expense categories. This ASU is effective for annual reporting periods beginning after December 15, 2026, and interim periods beginning after December 15, 2027. Early adoption is permitted. Adoption of this ASU had no impact on the Company's consolidated financial statements or the Company's reportable segment identified. Additional required disclosures have been included in Note 3, Segment reporting.</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3. 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segments are identified as components of an enterprise about which separate discrete financial information is available for evaluation by the chief operating decision-maker (CODM), the Company's Chief Executive Officer, in making decisions regarding resource allocation and assessing performance. The Company views its operations and manages its business in one operating segment. When evaluating the Company's financial performance, the CODM reviews total expenses and expenses by function. Further, the CODM reviews the segment's assets based on total assets reported on the consolidated balance sheet.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 below is a summary of the segment loss, including significant segment expenses (in thousands):</w:t>
      </w:r>
    </w:p>
    <w:p>
      <w:pPr>
        <w:pStyle w:val="TextBody"/>
        <w:bidi w:val="0"/>
        <w:spacing w:before="120" w:after="283"/>
        <w:jc w:val="left"/>
      </w:pPr>
      <w:r>
        <w:t> </w:t>
      </w:r>
    </w:p>
    <w:tbl>
      <w:tblPr>
        <w:tblW w:w="10205" w:type="dxa"/>
        <w:jc w:val="left"/>
        <w:tblInd w:w="0" w:type="dxa"/>
        <w:tblLayout w:type="fixed"/>
        <w:tblCellMar>
          <w:top w:w="28" w:type="dxa"/>
          <w:left w:w="28" w:type="dxa"/>
          <w:bottom w:w="28" w:type="dxa"/>
          <w:right w:w="28" w:type="dxa"/>
        </w:tblCellMar>
      </w:tblPr>
      <w:tblGrid>
        <w:gridCol w:w="4299"/>
        <w:gridCol w:w="146"/>
        <w:gridCol w:w="231"/>
        <w:gridCol w:w="809"/>
        <w:gridCol w:w="182"/>
        <w:gridCol w:w="160"/>
        <w:gridCol w:w="231"/>
        <w:gridCol w:w="809"/>
        <w:gridCol w:w="166"/>
        <w:gridCol w:w="146"/>
        <w:gridCol w:w="221"/>
        <w:gridCol w:w="774"/>
        <w:gridCol w:w="174"/>
        <w:gridCol w:w="153"/>
        <w:gridCol w:w="221"/>
        <w:gridCol w:w="885"/>
        <w:gridCol w:w="598"/>
      </w:tblGrid>
      <w:tr>
        <w:tc>
          <w:tcPr>
            <w:tcW w:w="4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c>
          <w:tcPr>
            <w:tcW w:w="42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2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6"/>
              </w:rPr>
            </w:pPr>
            <w:r>
              <w:rPr>
                <w:rFonts w:ascii="Times New Roman" w:hAnsi="Times New Roman"/>
                <w:b/>
                <w:color w:val="000000"/>
                <w:sz w:val="16"/>
              </w:rPr>
              <w:t xml:space="preserve">2025 </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0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6"/>
              </w:rPr>
            </w:pPr>
            <w:r>
              <w:rPr>
                <w:rFonts w:ascii="Times New Roman" w:hAnsi="Times New Roman"/>
                <w:b/>
                <w:color w:val="000000"/>
                <w:sz w:val="16"/>
              </w:rPr>
              <w:t xml:space="preserve">2025 </w:t>
            </w:r>
            <w:r>
              <w:rPr>
                <w:rFonts w:ascii="Times New Roman" w:hAnsi="Times New Roman"/>
                <w:b/>
                <w:color w:val="000000"/>
                <w:sz w:val="11"/>
              </w:rPr>
              <w:t>(1)</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2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3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42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0"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0"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5"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06"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2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development, and laboratory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11,819</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32,468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31,535</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2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Facility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11,546</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32,391</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33,652</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2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Support functions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21,707</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2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5,325</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16,329</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19,126</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2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Technical operations and 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16,615</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299"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Other</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7,840</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6,531</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2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related success payments and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(63,379</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15,343</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2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long-lived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44,611</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42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95,528</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189,120</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18,506</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(95,528</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(189,120</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2,572</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20,401</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(90,444</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(185,341</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p>
      <w:pPr>
        <w:pStyle w:val="TextBody"/>
        <w:bidi w:val="0"/>
        <w:spacing w:lineRule="auto" w:line="360"/>
        <w:jc w:val="left"/>
        <w:rPr>
          <w:rFonts w:ascii="Times New Roman" w:hAnsi="Times New Roman"/>
          <w:sz w:val="12"/>
        </w:rPr>
      </w:pPr>
      <w:r>
        <w:rPr>
          <w:rFonts w:ascii="Times New Roman" w:hAnsi="Times New Roman"/>
          <w:color w:val="000000"/>
          <w:sz w:val="12"/>
        </w:rPr>
        <w:t xml:space="preserve">(1) </w:t>
      </w:r>
      <w:r>
        <w:rPr>
          <w:rFonts w:ascii="Times New Roman" w:hAnsi="Times New Roman"/>
          <w:color w:val="000000"/>
          <w:sz w:val="18"/>
        </w:rPr>
        <w:t>Certain amounts for the three and nine months ended September 30, 2025 have been reclassified to conform to the presentation as of the three and nine months ended September 30, 2026.</w:t>
      </w:r>
    </w:p>
    <w:p>
      <w:pPr>
        <w:pStyle w:val="TextBody"/>
        <w:bidi w:val="0"/>
        <w:spacing w:lineRule="auto" w:line="360"/>
        <w:jc w:val="left"/>
        <w:rPr>
          <w:rFonts w:ascii="Times New Roman" w:hAnsi="Times New Roman"/>
          <w:sz w:val="12"/>
        </w:rPr>
      </w:pPr>
      <w:r>
        <w:rPr>
          <w:rFonts w:ascii="Times New Roman" w:hAnsi="Times New Roman"/>
          <w:color w:val="000000"/>
          <w:sz w:val="12"/>
        </w:rPr>
        <w:t xml:space="preserve">(2) </w:t>
      </w:r>
      <w:r>
        <w:rPr>
          <w:rFonts w:ascii="Times New Roman" w:hAnsi="Times New Roman"/>
          <w:color w:val="000000"/>
          <w:sz w:val="18"/>
        </w:rPr>
        <w:t>Other includes licensing costs, consulting fees, insurance, and business taxes for the three and nine months ended September 30, 2026 and 2025.</w:t>
      </w:r>
    </w:p>
    <w:p>
      <w:pPr>
        <w:pStyle w:val="TextBody"/>
        <w:bidi w:val="0"/>
        <w:jc w:val="left"/>
      </w:pPr>
      <w:r>
        <w:t> </w:t>
      </w:r>
    </w:p>
    <w:p>
      <w:pPr>
        <w:pStyle w:val="TextBody"/>
        <w:bidi w:val="0"/>
        <w:jc w:val="left"/>
      </w:pPr>
      <w:r>
        <w:t> </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 xml:space="preserve">4. Acquisitions </w:t>
      </w:r>
    </w:p>
    <w:p>
      <w:pPr>
        <w:pStyle w:val="Heading2"/>
        <w:bidi w:val="0"/>
        <w:spacing w:before="120" w:after="283"/>
        <w:jc w:val="left"/>
        <w:rPr>
          <w:rFonts w:ascii="Times New Roman" w:hAnsi="Times New Roman"/>
          <w:sz w:val="20"/>
        </w:rPr>
      </w:pPr>
      <w:r>
        <w:rPr>
          <w:rFonts w:ascii="Times New Roman" w:hAnsi="Times New Roman"/>
          <w:i/>
          <w:color w:val="000000"/>
          <w:sz w:val="20"/>
        </w:rPr>
        <w:t>Cobalt Biomedicine, Inc.</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2019, the Company acquired 100% of the outstanding equity of Cobalt Biomedicine, Inc. (Cobalt), a privately held early-stage biotechnology company developing a platform technology using its fusogen technology to specifically and consistently deliver various biological payloads to cells (the Cobalt acquisition).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part of the Cobalt acquisition, the Company recorded an intangible asset of $59.2 million, which consists of in-process research and development that is classified as indefinite-lived until the successful completion of the associated research and development technology, at which point it becomes a finite-lived asset and will be amortized over its estimated useful life. If the research and development technology is abandoned, an impairment charge will be recorded. The Company is actively developing the fusogen technology and, accordingly, the intangible asset is not complete. Amortization will begin when regulatory approval of a product candidate developed using the fusogen technology is obtained in a major market, typically either the United States or the European Union.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recognized $140.6 million of goodwill as a result of the Cobalt acquisition, which is primarily attributable to the value the acquisition provides the Company by complementing the Company’s </w:t>
      </w:r>
      <w:r>
        <w:rPr>
          <w:rFonts w:ascii="Times New Roman" w:hAnsi="Times New Roman"/>
          <w:i/>
          <w:color w:val="000000"/>
          <w:sz w:val="20"/>
        </w:rPr>
        <w:t>ex vivo</w:t>
      </w:r>
      <w:r>
        <w:rPr>
          <w:rFonts w:ascii="Times New Roman" w:hAnsi="Times New Roman"/>
          <w:color w:val="000000"/>
          <w:sz w:val="20"/>
        </w:rPr>
        <w:t xml:space="preserve"> cell therapy technology with </w:t>
      </w:r>
      <w:r>
        <w:rPr>
          <w:rFonts w:ascii="Times New Roman" w:hAnsi="Times New Roman"/>
          <w:i/>
          <w:color w:val="000000"/>
          <w:sz w:val="20"/>
        </w:rPr>
        <w:t>in vivo</w:t>
      </w:r>
      <w:r>
        <w:rPr>
          <w:rFonts w:ascii="Times New Roman" w:hAnsi="Times New Roman"/>
          <w:color w:val="000000"/>
          <w:sz w:val="20"/>
        </w:rPr>
        <w:t xml:space="preserve"> fusogen cell engineering technology and furthering the Company’s research in using engineered cells as medicines. The goodwill is not deductible for income tax purposes. There were no impairments of the intangible asset or goodwill since the acquisition.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terms and conditions in the Cobalt acquisition agreement, which was amended in August 2026, the Company is obligated to pay to certain former Cobalt stockholders contingent consideration (Cobalt Contingent Consideration) of up to an aggregate of $500.0 million and a success payment (Cobalt Success Payment) of up to $500.0 million, each of which is payable in cash or stock. The August 2026 amendment restructured the Cobalt Contingent Consideration to (i) expand the Cobalt Contingent Consideration triggers to include both the achievement of specified development milestones and the Company’s receipt of payments from business development transactions involving the fusogen technology and (ii) reduce or defer the payment of certain milestone amounts until a change of control of the Company. The Cobalt Success Payment would become payable if the Company’s market capitalization equals or exceeds $8.1 billion and the Company is advancing a product developed using the fusogen technology in a clinical trial pursuant to an investigational new drug application, or is in the process of filing or has filed, or received approval for, a biologics license application or new drug application for such product. The Cobalt Success Payment may alternatively become payable in connection with a change of control of the Company if at least one Company product developed using the fusogen technology is the subject of an active research program at the time of such change of control. If the Company’s market capitalization is below certain threshold amounts as of the date of a change of control, the amount of the Cobalt Success Payment will decrease, and the amount of potential Cobalt Contingent Consideration will increase, as shown in the table below. The Cobalt Success Payment may become payable over a maximum of 20 years from the date of the acquisition. As of September 30, 2026, no Cobalt Contingent Consideration or Cobalt Success Payment had been triggered.</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7356"/>
        <w:gridCol w:w="146"/>
        <w:gridCol w:w="331"/>
        <w:gridCol w:w="665"/>
        <w:gridCol w:w="146"/>
        <w:gridCol w:w="146"/>
        <w:gridCol w:w="406"/>
        <w:gridCol w:w="815"/>
        <w:gridCol w:w="194"/>
      </w:tblGrid>
      <w:tr>
        <w:tc>
          <w:tcPr>
            <w:tcW w:w="7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c>
          <w:tcPr>
            <w:tcW w:w="7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Sana market capitalization upon a change of control and resulting impact to Cobalt Success Payment and additional potential Cobalt Contingent Consideration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Cobalt Success</w:t>
              <w:br/>
              <w:t>Payment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potential Cobalt</w:t>
              <w:br/>
              <w:t>Contingent</w:t>
              <w:br/>
              <w:t>Consideration</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73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0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7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Equal to or exceeds $8.1 billion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Equal to or exceeds $7.4 billion, but less than $8.1 billion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Equal to or exceeds $6.8 billion, but less than $7.4 billion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than $6.8 billion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Cobalt Success Payment and Cobalt Contingent Consideration liabilities are carried at fair value, with changes in fair value recognized in research and development related success payments and contingent consideration. As of September 30, 2026 and December 31, 2025, the estimated fair value of the Cobalt Success Payment liability was $15.6 million and $17.9 million, respectively, and was recorded in long-term liabilities. In connection with the change in the estimated fair value of the Cobalt Success Payment, the Company recognized a gain of $7.6 million and an expense of $4.8 million for the three months ended September 30, 2026 and 2025, respectively, and a gain of $2.3 million and an expense of $8.5 million for the nine months ended September 30, 2026 and 2025,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2026, the estimated fair value of the Cobalt Contingent Consideration was $95.4 million, of which $40.6 million was recorded in short-term liabilities and $54.8 million was recorded in long-term liabilities. As of December 31, 2025, the estimated fair value of the Cobalt Contingent Consideration was $123.7 million, of which $40.2 million was recorded in short-term liabilities and $83.5 million was recorded in long-term liabilities. In connection with the change in the estimated fair value of the Cobalt Contingent Consideration, the Company recognized gains of $55.5 million and $2.0 million for the three months ended September 30, 2026 and 2025, respectively, and a gain of $28.4 million and an expense of $6.2 million for the nine months ended September 30, 2026 and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pPr>
      <w:r/>
    </w:p>
    <w:p>
      <w:pPr>
        <w:pStyle w:val="TextBody"/>
        <w:bidi w:val="0"/>
        <w:jc w:val="left"/>
      </w:pPr>
      <w:r>
        <w:t> </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 xml:space="preserve">5. License and collaboration agreements </w:t>
      </w:r>
    </w:p>
    <w:p>
      <w:pPr>
        <w:pStyle w:val="Heading1"/>
        <w:bidi w:val="0"/>
        <w:spacing w:before="120" w:after="283"/>
        <w:jc w:val="left"/>
        <w:rPr>
          <w:rFonts w:ascii="Times New Roman" w:hAnsi="Times New Roman"/>
          <w:i/>
          <w:color w:val="000000"/>
          <w:sz w:val="20"/>
        </w:rPr>
      </w:pPr>
      <w:r>
        <w:rPr>
          <w:rFonts w:ascii="Times New Roman" w:hAnsi="Times New Roman"/>
          <w:i/>
          <w:color w:val="000000"/>
          <w:sz w:val="20"/>
        </w:rPr>
        <w:t>Beam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2021, the Company entered into an option and license agreement with Beam Therapeutics Inc. (Beam), pursuant to which the Company was granted a non-exclusive license to use Beam’s proprietary CRISPR Cas12b nuclease editing technology to research, develop, and commercialize engineered cell therapy products that (i) are directed to certain antigen targets, with respect to allogeneic T cell products, or (ii) comprise certain human cell types, with respect to stem cell-derived products. The Company made an upfront payment of $50.0 million to Beam, which was recorded in research and development expense for the year ended December 31, 2021. Additionally, under the terms of the agreement, the Company may be obligated to pay, with respect to each licensed product, up to $65.0 million in specified developmental and commercial milestone payments as well as royalties. At the time of the entry into the option and license agreement, a member of the Company’s board of directors was a beneficial owner of greater than 10% of the outstanding shares of Beam. In 2024, this director was also affiliated with a member of the board of directors of Beam.</w:t>
      </w:r>
    </w:p>
    <w:p>
      <w:pPr>
        <w:pStyle w:val="Heading2"/>
        <w:bidi w:val="0"/>
        <w:spacing w:before="360" w:after="283"/>
        <w:jc w:val="left"/>
        <w:rPr>
          <w:rFonts w:ascii="Times New Roman" w:hAnsi="Times New Roman"/>
          <w:sz w:val="20"/>
        </w:rPr>
      </w:pPr>
      <w:r>
        <w:rPr>
          <w:rFonts w:ascii="Times New Roman" w:hAnsi="Times New Roman"/>
          <w:i/>
          <w:color w:val="000000"/>
          <w:sz w:val="20"/>
        </w:rPr>
        <w:t>President and Fellows of Harvard College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2019, the Company entered into an exclusive license agreement with the President and Fellows of Harvard College (Harvard) to access certain intellectual property for the development of hypoimmune-modified cells. Under the terms of the agreement, the Company paid to Harvard aggregate consideration of $12.0 million, comprising $9.0 million in common stock and $3.0 million in cash. Additionally, the Company may be required to pay to Harvard up to an aggregate of $175.0 million in success payments, payable in cash, based on increases in the fair value of the Company’s common stock (Harvard Success Payments). The potential Harvard Success Payments are based on multiples of increased value ranging from 5x to 40x, based on a comparison of the fair market value of the Company’s common stock relative to the original issuance price of $4.00 per share at ongoing pre-determined valuation measurement dates. The Harvard Success Payments can be achieved over a maximum of 12 years from the effective date of the agreement. If a higher success payment tier is first met at the same time a lower tier is first met, both tiers will be owed. Any previous success payments made to Harvard would be credited against the success payment owed as of any valuation measurement date so that Harvard does not receive multiple success payments in connection with the same threshold. As of September 30, 2026, a Harvard Success Payment had not been triggered.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potential success payments and common stock price required for payment:</w:t>
      </w:r>
    </w:p>
    <w:p>
      <w:pPr>
        <w:pStyle w:val="TextBody"/>
        <w:bidi w:val="0"/>
        <w:jc w:val="left"/>
      </w:pPr>
      <w:r>
        <w:t> </w:t>
      </w:r>
    </w:p>
    <w:tbl>
      <w:tblPr>
        <w:tblW w:w="9886" w:type="dxa"/>
        <w:jc w:val="left"/>
        <w:tblInd w:w="0" w:type="dxa"/>
        <w:tblLayout w:type="fixed"/>
        <w:tblCellMar>
          <w:top w:w="28" w:type="dxa"/>
          <w:left w:w="28" w:type="dxa"/>
          <w:bottom w:w="28" w:type="dxa"/>
          <w:right w:w="28" w:type="dxa"/>
        </w:tblCellMar>
      </w:tblPr>
      <w:tblGrid>
        <w:gridCol w:w="4261"/>
        <w:gridCol w:w="146"/>
        <w:gridCol w:w="211"/>
        <w:gridCol w:w="571"/>
        <w:gridCol w:w="146"/>
        <w:gridCol w:w="146"/>
        <w:gridCol w:w="211"/>
        <w:gridCol w:w="571"/>
        <w:gridCol w:w="146"/>
        <w:gridCol w:w="146"/>
        <w:gridCol w:w="211"/>
        <w:gridCol w:w="571"/>
        <w:gridCol w:w="146"/>
        <w:gridCol w:w="146"/>
        <w:gridCol w:w="211"/>
        <w:gridCol w:w="676"/>
        <w:gridCol w:w="146"/>
        <w:gridCol w:w="146"/>
        <w:gridCol w:w="211"/>
        <w:gridCol w:w="676"/>
        <w:gridCol w:w="191"/>
      </w:tblGrid>
      <w:t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4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Multiple of Equity Value at Issuance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10x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40x</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 share common stock price required for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Success payment(s)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Harvard Success Payment liabilities are carried at fair value, with the initial value and changes in fair value recognized in research and development related success payments and contingent consideration. As of September 30, 2026 and December 31, 2025, the estimated fair value of the Harvard Success Payment liability was $1.0 million and $1.4 million, respectively, and was recorded in long-term liabilities. In connection with the change in the estimated fair value of the Harvard Success Payment liability, the Company recognized a gain of $0.3 million and an expense of $0.3 million for the three months ended September 30, 2026 and 2025, respectively, and a gain of $0.4 million and an expense of $0.7 million for the nine months ended September 30, 2026 and 2025, respectively.</w:t>
      </w:r>
    </w:p>
    <w:p>
      <w:pPr>
        <w:pStyle w:val="TextBody"/>
        <w:bidi w:val="0"/>
        <w:spacing w:before="360" w:after="283"/>
        <w:jc w:val="left"/>
        <w:rPr>
          <w:rFonts w:ascii="Times New Roman" w:hAnsi="Times New Roman"/>
          <w:sz w:val="20"/>
        </w:rPr>
      </w:pPr>
      <w:r>
        <w:rPr>
          <w:rFonts w:ascii="Times New Roman" w:hAnsi="Times New Roman"/>
          <w:b/>
          <w:i/>
          <w:color w:val="000000"/>
          <w:sz w:val="20"/>
        </w:rPr>
        <w:t>Mayo Clinic</w:t>
      </w:r>
      <w:r>
        <w:rPr>
          <w:rFonts w:ascii="Times New Roman" w:hAnsi="Times New Roman"/>
          <w:color w:val="000000"/>
          <w:sz w:val="20"/>
        </w:rPr>
        <w:t xml:space="preserv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In April 2026, the Company entered into the SPA with Mayo Clinic pursuant to which Mayo Clinic purchased 7.5 million shares of the Company's common stock (the Initial Shares) at a price of $3.33 per share for gross proceeds of approximately $25.0 million, and had the option to elect, on or prior to August 31, 2026, to purchase an additional 7.5 million shares of the Company's common stock (the Additional Shares) at a price of $3.33 per share for potential additional gross proceeds of approximately $25.0 million. Mayo Clinic did not elect to purchase the Additional Shares prior to the expiration of the option on August 31, 2026.</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In connection with the SPA, the Company entered into a collaboration and license agreement (the License Agreement) with an affiliate of Mayo Clinic pursuant to which the Company obtained a non-exclusive license to certain know-how and other intellectual property rights of such affiliate related to the Company’s SC451 program and related islet cell therapy technologies. In exchange, the Company is obligated to pay Mayo Clinic royalties on net sales of products covered by the License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 xml:space="preserve">The Company evaluated the SPA and the License Agreement (together, the Transaction) as a combined arrangement as the agreements were negotiated and entered into concurrently, and the entry into the License Agreement was a condition to the parties’ obligations to purchase and sell the Initial Shares under the SPA. The gross proceeds from sale of the Initial Shares were representative of the fair value of the Transaction and accounted for as an equity issuance. The rights granted to the Company under the License Agreement did not result in the recognition of a separate intangible asset or in-process research and development expense at inception.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The Company determined that Mayo Clinic’s option to purchase the Additional Shares represented a freestanding equity-classified instrument. Accordingly, the gross proceeds from the sale of the Initial Shares were allocated between the Initial Shares and the option to purchase the Additional Shares based on their relative fair values. The Company allocated approximately $21.3 million to common stock and additional paid-in capital associated with the Initial Shares and approximately $3.7 million to additional paid-in capital associated with the option to purchase the Additional Shares. </w:t>
      </w:r>
    </w:p>
    <w:p>
      <w:pPr>
        <w:pStyle w:val="Heading1"/>
        <w:bidi w:val="0"/>
        <w:spacing w:before="200" w:after="283"/>
        <w:jc w:val="left"/>
        <w:rPr>
          <w:rFonts w:ascii="Times New Roman" w:hAnsi="Times New Roman"/>
          <w:color w:val="000000"/>
          <w:sz w:val="20"/>
        </w:rPr>
      </w:pPr>
      <w:r>
        <w:rPr>
          <w:rFonts w:ascii="Times New Roman" w:hAnsi="Times New Roman"/>
          <w:color w:val="000000"/>
          <w:sz w:val="20"/>
        </w:rPr>
        <w:t xml:space="preserve">6. Restricted cash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standby letters of credit that are collateralized with a bank account at a financial institution in accordance with certain lease agreements. The aggregate amount of such standby letters of credit was $3.8 million and $4.2 million as of September 30, 2026 and December 31, 2025, respectively.</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 xml:space="preserve">7. Fair value measurements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summarize the Company’s financial assets and liabilities measured at fair value on a recurring basis based on the three-tier fair value hierarchy:</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2970"/>
        <w:gridCol w:w="346"/>
        <w:gridCol w:w="856"/>
        <w:gridCol w:w="146"/>
        <w:gridCol w:w="246"/>
        <w:gridCol w:w="912"/>
        <w:gridCol w:w="146"/>
        <w:gridCol w:w="146"/>
        <w:gridCol w:w="594"/>
        <w:gridCol w:w="469"/>
        <w:gridCol w:w="146"/>
        <w:gridCol w:w="146"/>
        <w:gridCol w:w="330"/>
        <w:gridCol w:w="753"/>
        <w:gridCol w:w="166"/>
        <w:gridCol w:w="146"/>
        <w:gridCol w:w="211"/>
        <w:gridCol w:w="781"/>
        <w:gridCol w:w="695"/>
      </w:tblGrid>
      <w:tr>
        <w:tc>
          <w:tcPr>
            <w:tcW w:w="297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c>
          <w:tcPr>
            <w:tcW w:w="2970"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19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970"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1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970"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19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9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5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30,412</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and agency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3,404</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4,212</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cash equivalents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38,028</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marketable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5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and agency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54,413</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26,211</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short-term marketable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80,624</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pPr>
            <w:r>
              <w:t> </w:t>
            </w:r>
          </w:p>
        </w:tc>
      </w:tr>
      <w:t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financial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118,652</w:t>
            </w:r>
          </w:p>
        </w:tc>
        <w:tc>
          <w:tcPr>
            <w:tcW w:w="6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9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financial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5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Contingent consideration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40,647</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short-term financial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pPr>
            <w:r>
              <w:t> </w:t>
            </w:r>
          </w:p>
        </w:tc>
        <w:tc>
          <w:tcPr>
            <w:tcW w:w="91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40,647</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pPr>
            <w: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c>
          <w:tcPr>
            <w:tcW w:w="59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pPr>
            <w:r>
              <w:t> </w:t>
            </w:r>
          </w:p>
        </w:tc>
        <w:tc>
          <w:tcPr>
            <w:tcW w:w="46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pPr>
            <w: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c>
          <w:tcPr>
            <w:tcW w:w="33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pPr>
            <w:r>
              <w:t> </w:t>
            </w:r>
          </w:p>
        </w:tc>
        <w:tc>
          <w:tcPr>
            <w:tcW w:w="75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pPr>
            <w: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pPr>
            <w: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40,647</w:t>
            </w:r>
          </w:p>
        </w:tc>
        <w:tc>
          <w:tcPr>
            <w:tcW w:w="69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ind w:left="0" w:right="0" w:firstLine="200"/>
              <w:jc w:val="left"/>
            </w:pPr>
            <w:r>
              <w:t> </w:t>
            </w:r>
          </w:p>
        </w:tc>
      </w:tr>
      <w:t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financial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Contingent consideration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54,710</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Success payment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16,566</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pPr>
            <w:r>
              <w:t> </w:t>
            </w:r>
          </w:p>
        </w:tc>
      </w:tr>
      <w:t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long-term financial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71,276</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pPr>
            <w:r>
              <w:t> </w:t>
            </w:r>
          </w:p>
        </w:tc>
      </w:tr>
      <w:t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financial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111,923</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2970"/>
        <w:gridCol w:w="346"/>
        <w:gridCol w:w="856"/>
        <w:gridCol w:w="146"/>
        <w:gridCol w:w="246"/>
        <w:gridCol w:w="912"/>
        <w:gridCol w:w="146"/>
        <w:gridCol w:w="146"/>
        <w:gridCol w:w="424"/>
        <w:gridCol w:w="639"/>
        <w:gridCol w:w="146"/>
        <w:gridCol w:w="146"/>
        <w:gridCol w:w="473"/>
        <w:gridCol w:w="610"/>
        <w:gridCol w:w="166"/>
        <w:gridCol w:w="146"/>
        <w:gridCol w:w="211"/>
        <w:gridCol w:w="781"/>
        <w:gridCol w:w="695"/>
      </w:tblGrid>
      <w:tr>
        <w:tc>
          <w:tcPr>
            <w:tcW w:w="297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c>
          <w:tcPr>
            <w:tcW w:w="2970"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19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970"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1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970"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19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9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5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63,000</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and agency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6,528</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cash equivalents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pPr>
            <w:r>
              <w:t> </w:t>
            </w:r>
          </w:p>
        </w:tc>
        <w:tc>
          <w:tcPr>
            <w:tcW w:w="91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69,528</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pPr>
            <w: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42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pPr>
            <w:r>
              <w:t> </w:t>
            </w:r>
          </w:p>
        </w:tc>
        <w:tc>
          <w:tcPr>
            <w:tcW w:w="63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pPr>
            <w: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47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pPr>
            <w:r>
              <w:t> </w:t>
            </w:r>
          </w:p>
        </w:tc>
        <w:tc>
          <w:tcPr>
            <w:tcW w:w="61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pPr>
            <w: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pPr>
            <w: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69,528</w:t>
            </w:r>
          </w:p>
        </w:tc>
        <w:tc>
          <w:tcPr>
            <w:tcW w:w="69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ind w:left="0" w:right="0" w:firstLine="200"/>
              <w:jc w:val="left"/>
            </w:pPr>
            <w:r>
              <w:t> </w:t>
            </w:r>
          </w:p>
        </w:tc>
      </w:tr>
      <w:t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marketable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5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and agency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65,111</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short-term marketable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66,512</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pPr>
            <w:r>
              <w:t> </w:t>
            </w:r>
          </w:p>
        </w:tc>
      </w:tr>
      <w:t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financial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136,040</w:t>
            </w:r>
          </w:p>
        </w:tc>
        <w:tc>
          <w:tcPr>
            <w:tcW w:w="6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9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financial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5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Contingent consideration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40,200</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short-term financial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pPr>
            <w:r>
              <w:t> </w:t>
            </w:r>
          </w:p>
        </w:tc>
        <w:tc>
          <w:tcPr>
            <w:tcW w:w="91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40,200</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pPr>
            <w: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c>
          <w:tcPr>
            <w:tcW w:w="42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pPr>
            <w:r>
              <w:t> </w:t>
            </w:r>
          </w:p>
        </w:tc>
        <w:tc>
          <w:tcPr>
            <w:tcW w:w="63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pPr>
            <w: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c>
          <w:tcPr>
            <w:tcW w:w="47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pPr>
            <w:r>
              <w:t> </w:t>
            </w:r>
          </w:p>
        </w:tc>
        <w:tc>
          <w:tcPr>
            <w:tcW w:w="61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pPr>
            <w: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pPr>
            <w: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40,200</w:t>
            </w:r>
          </w:p>
        </w:tc>
        <w:tc>
          <w:tcPr>
            <w:tcW w:w="69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ind w:left="0" w:right="0" w:firstLine="200"/>
              <w:jc w:val="left"/>
            </w:pPr>
            <w:r>
              <w:t> </w:t>
            </w:r>
          </w:p>
        </w:tc>
      </w:tr>
      <w:t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financial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Contingent consideration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83,518</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Success payment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19,238</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pPr>
            <w:r>
              <w:t> </w:t>
            </w:r>
          </w:p>
        </w:tc>
      </w:tr>
      <w:t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long-term financial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102,756</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pPr>
            <w:r>
              <w:t> </w:t>
            </w:r>
          </w:p>
        </w:tc>
      </w:tr>
      <w:t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financial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142,956</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measures the fair value of money market funds based on quoted prices in active markets for identical assets or liabilities. The Level 2 marketable securities include U.S. government and agency securities and corporate debt securities and are valued based on either recent trades of securities in inactive markets or quoted market prices of similar instruments and other significant inputs derived from or corroborated by observable market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available-for-sale debt securities in a material loss position as of September 30, 2026 and December 31, 2025. The Company determined that there was no material change in the credit risk of the investments during the three months ended September 30, 2026. As such, an allowance for credit losses has not been recognized. As of September 30, 2026, the Company does not intend to sell such securities, and it is not more-likely-than-not that the Company will be required to sell the securities prior to the recovery of the amortized cost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September 30, 2026, all marketable securities had an effective maturity date of two years or less. Investments in securities with maturities of less than one year, or those for which management intends to use to fund current operations, are included in current assets and classified as available-for-sale. As of September 30, 2026 and December 31, 2025, the balance in accumulated other comprehensive income (loss) included net unrealized gains (losses) related to the Company’s available-for-sale debt securities.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a summary of the changes in the fair value of the Company’s Level 3 financial liabilities:</w:t>
      </w:r>
    </w:p>
    <w:p>
      <w:pPr>
        <w:pStyle w:val="TextBody"/>
        <w:bidi w:val="0"/>
        <w:jc w:val="left"/>
      </w:pPr>
      <w:r>
        <w:t> </w:t>
      </w:r>
    </w:p>
    <w:tbl>
      <w:tblPr>
        <w:tblW w:w="8353" w:type="dxa"/>
        <w:jc w:val="left"/>
        <w:tblInd w:w="0" w:type="dxa"/>
        <w:tblLayout w:type="fixed"/>
        <w:tblCellMar>
          <w:top w:w="28" w:type="dxa"/>
          <w:left w:w="28" w:type="dxa"/>
          <w:bottom w:w="28" w:type="dxa"/>
          <w:right w:w="28" w:type="dxa"/>
        </w:tblCellMar>
      </w:tblPr>
      <w:tblGrid>
        <w:gridCol w:w="3426"/>
        <w:gridCol w:w="146"/>
        <w:gridCol w:w="239"/>
        <w:gridCol w:w="887"/>
        <w:gridCol w:w="166"/>
        <w:gridCol w:w="146"/>
        <w:gridCol w:w="314"/>
        <w:gridCol w:w="1006"/>
        <w:gridCol w:w="166"/>
        <w:gridCol w:w="146"/>
        <w:gridCol w:w="356"/>
        <w:gridCol w:w="964"/>
        <w:gridCol w:w="391"/>
      </w:tblGrid>
      <w:tr>
        <w:tc>
          <w:tcPr>
            <w:tcW w:w="3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342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Contingent</w:t>
              <w:br/>
              <w:t>Consideration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Cobalt </w:t>
              <w:br/>
              <w:t>Success Payment</w:t>
              <w:br/>
              <w:t>Liability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Harvard </w:t>
              <w:br/>
              <w:t>Success Payment</w:t>
              <w:br/>
              <w:t>Liability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42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9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42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123,718</w:t>
            </w:r>
          </w:p>
        </w:tc>
        <w:tc>
          <w:tcPr>
            <w:tcW w:w="16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314"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17,875</w:t>
            </w:r>
          </w:p>
        </w:tc>
        <w:tc>
          <w:tcPr>
            <w:tcW w:w="16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w:t>
            </w:r>
          </w:p>
        </w:tc>
        <w:tc>
          <w:tcPr>
            <w:tcW w:w="391" w:type="dxa"/>
            <w:tcBorders/>
            <w:shd w:fill="CE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fair value – expense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42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2026</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887"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134,463</w:t>
            </w:r>
          </w:p>
        </w:tc>
        <w:tc>
          <w:tcPr>
            <w:tcW w:w="16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314"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16,052</w:t>
            </w:r>
          </w:p>
        </w:tc>
        <w:tc>
          <w:tcPr>
            <w:tcW w:w="16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964"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391" w:type="dxa"/>
            <w:tcBorders/>
            <w:shd w:fill="CE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fair value –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42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887"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150,825</w:t>
            </w:r>
          </w:p>
        </w:tc>
        <w:tc>
          <w:tcPr>
            <w:tcW w:w="16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314"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23,219</w:t>
            </w:r>
          </w:p>
        </w:tc>
        <w:tc>
          <w:tcPr>
            <w:tcW w:w="16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964"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w:t>
            </w:r>
          </w:p>
        </w:tc>
        <w:tc>
          <w:tcPr>
            <w:tcW w:w="391" w:type="dxa"/>
            <w:tcBorders/>
            <w:shd w:fill="CE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fair value –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42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September 30, 2026</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95,357</w:t>
            </w:r>
          </w:p>
        </w:tc>
        <w:tc>
          <w:tcPr>
            <w:tcW w:w="166"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pPr>
            <w:r>
              <w:t> </w:t>
            </w:r>
          </w:p>
        </w:tc>
        <w:tc>
          <w:tcPr>
            <w:tcW w:w="314"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15,590</w:t>
            </w:r>
          </w:p>
        </w:tc>
        <w:tc>
          <w:tcPr>
            <w:tcW w:w="166"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pPr>
            <w:r>
              <w:t> </w:t>
            </w:r>
          </w:p>
        </w:tc>
        <w:tc>
          <w:tcPr>
            <w:tcW w:w="356"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391"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i/>
          <w:color w:val="000000"/>
          <w:sz w:val="20"/>
        </w:rPr>
        <w:t>Contingent consideration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utilizes significant estimates and assumptions it believes would be made by a market participant in determining the estimated fair value of the Cobalt Contingent Consideration at each balance sheet date. The fair value of the Cobalt Contingent Consideration was determined based on the estimated probability and timing of the specified development milestone payments and the estimated probability, timing, and amount of potential payments to the Company from business development transactions involving the fusogen technology, as well as the applicable discount rates. The discount rate captures the credit risk associated with the payment of the contingent consideration when earned and due. The Company assesses these estimates on an ongoing basis as additional data impacting the assumptions are obtained.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the Cobalt Contingent Consideration was calculated using the following unobservable inputs:</w:t>
      </w:r>
    </w:p>
    <w:p>
      <w:pPr>
        <w:pStyle w:val="TextBody"/>
        <w:bidi w:val="0"/>
        <w:jc w:val="left"/>
      </w:pPr>
      <w:r>
        <w:t> </w:t>
      </w:r>
    </w:p>
    <w:tbl>
      <w:tblPr>
        <w:tblW w:w="8449" w:type="dxa"/>
        <w:jc w:val="left"/>
        <w:tblInd w:w="0" w:type="dxa"/>
        <w:tblLayout w:type="fixed"/>
        <w:tblCellMar>
          <w:top w:w="28" w:type="dxa"/>
          <w:left w:w="28" w:type="dxa"/>
          <w:bottom w:w="28" w:type="dxa"/>
          <w:right w:w="28" w:type="dxa"/>
        </w:tblCellMar>
      </w:tblPr>
      <w:tblGrid>
        <w:gridCol w:w="2176"/>
        <w:gridCol w:w="146"/>
        <w:gridCol w:w="1351"/>
        <w:gridCol w:w="146"/>
        <w:gridCol w:w="1471"/>
        <w:gridCol w:w="146"/>
        <w:gridCol w:w="1351"/>
        <w:gridCol w:w="146"/>
        <w:gridCol w:w="1516"/>
      </w:tblGrid>
      <w:t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c>
          <w:tcPr>
            <w:tcW w:w="21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0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c>
          <w:tcPr>
            <w:tcW w:w="2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Unobservable 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r>
          </w:p>
        </w:tc>
      </w:tr>
      <w:tr>
        <w:tc>
          <w:tcPr>
            <w:tcW w:w="217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rates</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right"/>
            </w:pPr>
            <w:r>
              <w:t> </w:t>
            </w:r>
          </w:p>
        </w:tc>
        <w:tc>
          <w:tcPr>
            <w:tcW w:w="1351"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17.3% – 19.1%</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71"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18.2%</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right"/>
            </w:pPr>
            <w:r>
              <w:t> </w:t>
            </w:r>
          </w:p>
        </w:tc>
        <w:tc>
          <w:tcPr>
            <w:tcW w:w="1351"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 – 12.1%</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516"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11.6%</w:t>
            </w:r>
          </w:p>
        </w:tc>
      </w:tr>
      <w:t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Probability of occurrence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 – 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 – 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27.4%</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weighted-average unobservable inputs were calculated based on the relative value of the specified development milestones and potential payments to the Company from business development transactions involving the fusogen technology. The estimated fair value of the Cobalt Contingent Consideration may change significantly as development progresses and additional data are obtained, impacting the assumptions used to estimate the fair value of the liability, including the probability and timing of the specified development milestones and potential payments to the Company from business development transactions involving the fusogen technology. In evaluating the fair value assumptions, judgment is required to interpret the market data used to develop the estimates. The estimates of fair value may not be indicative of the amounts that could be realized in a current market exchange. Accordingly, the use of different market assumptions, inputs, and/or different valuation techniques could result in materially different fair value estimates. </w:t>
      </w:r>
    </w:p>
    <w:p>
      <w:pPr>
        <w:pStyle w:val="Heading2"/>
        <w:bidi w:val="0"/>
        <w:spacing w:before="360" w:after="283"/>
        <w:jc w:val="left"/>
        <w:rPr>
          <w:rFonts w:ascii="Times New Roman" w:hAnsi="Times New Roman"/>
          <w:sz w:val="20"/>
        </w:rPr>
      </w:pPr>
      <w:r>
        <w:rPr>
          <w:rFonts w:ascii="Times New Roman" w:hAnsi="Times New Roman"/>
          <w:i/>
          <w:color w:val="000000"/>
          <w:sz w:val="20"/>
        </w:rPr>
        <w:t>Success payments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utilizes significant estimates and assumptions in determining the estimated fair value of the success payment liabilities and the associated expense or gain at each balance sheet date. The estimated fair value of the Cobalt Success Payment and Harvard Success Payment liabilities was determined using a Monte Carlo simulation methodology, which models the estimated fair value of the liability based on several key assumptions, including the expected volatility, remaining term, risk-free interest rate, estimated number and timing of valuation measurement dates on the basis of which payment may be triggered, and, for the Cobalt Success Payment, the Company’s market capitalization, and, for the Harvard Success Payments, the per share fair value of the Company’s common stock. The potential Cobalt Success Payment is payable in cash or stock, and the potential Harvard Success Payments are payable in cash.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values of the Cobalt Success Payment and Harvard Success Payments were calculated using the following unobservable inputs:</w:t>
      </w:r>
    </w:p>
    <w:p>
      <w:pPr>
        <w:pStyle w:val="TextBody"/>
        <w:bidi w:val="0"/>
        <w:jc w:val="left"/>
      </w:pPr>
      <w:r>
        <w:t> </w:t>
      </w:r>
    </w:p>
    <w:tbl>
      <w:tblPr>
        <w:tblW w:w="6035" w:type="dxa"/>
        <w:jc w:val="left"/>
        <w:tblInd w:w="0" w:type="dxa"/>
        <w:tblLayout w:type="fixed"/>
        <w:tblCellMar>
          <w:top w:w="28" w:type="dxa"/>
          <w:left w:w="28" w:type="dxa"/>
          <w:bottom w:w="28" w:type="dxa"/>
          <w:right w:w="28" w:type="dxa"/>
        </w:tblCellMar>
      </w:tblPr>
      <w:tblGrid>
        <w:gridCol w:w="2626"/>
        <w:gridCol w:w="146"/>
        <w:gridCol w:w="638"/>
        <w:gridCol w:w="147"/>
        <w:gridCol w:w="759"/>
        <w:gridCol w:w="146"/>
        <w:gridCol w:w="631"/>
        <w:gridCol w:w="146"/>
        <w:gridCol w:w="796"/>
      </w:tblGrid>
      <w:t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c>
          <w:tcPr>
            <w:tcW w:w="26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4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c>
          <w:tcPr>
            <w:tcW w:w="2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Unobservable 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Cobalt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Harvard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Cobalt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Harvard</w:t>
            </w:r>
          </w:p>
        </w:tc>
      </w:tr>
      <w:t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stock price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95.0%</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77.5%</w:t>
            </w:r>
          </w:p>
        </w:tc>
      </w:tr>
      <w:t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w:t>
            </w:r>
          </w:p>
        </w:tc>
      </w:tr>
    </w:tbl>
    <w:p>
      <w:pPr>
        <w:pStyle w:val="TextBody"/>
        <w:bidi w:val="0"/>
        <w:jc w:val="left"/>
      </w:pPr>
      <w:r>
        <w:t> </w:t>
      </w:r>
    </w:p>
    <w:p>
      <w:pPr>
        <w:pStyle w:val="Heading1"/>
        <w:bidi w:val="0"/>
        <w:spacing w:before="160" w:after="283"/>
        <w:jc w:val="left"/>
        <w:rPr>
          <w:rFonts w:ascii="Times New Roman" w:hAnsi="Times New Roman"/>
          <w:color w:val="000000"/>
          <w:sz w:val="20"/>
        </w:rPr>
      </w:pPr>
      <w:r>
        <w:rPr>
          <w:rFonts w:ascii="Times New Roman" w:hAnsi="Times New Roman"/>
          <w:color w:val="000000"/>
          <w:sz w:val="20"/>
        </w:rPr>
        <w:t xml:space="preserve">8. Property and equipment, net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net consists of the following:</w:t>
      </w:r>
    </w:p>
    <w:p>
      <w:pPr>
        <w:pStyle w:val="TextBody"/>
        <w:bidi w:val="0"/>
        <w:jc w:val="left"/>
      </w:pPr>
      <w:r>
        <w:t> </w:t>
      </w:r>
    </w:p>
    <w:tbl>
      <w:tblPr>
        <w:tblW w:w="7180" w:type="dxa"/>
        <w:jc w:val="left"/>
        <w:tblInd w:w="0" w:type="dxa"/>
        <w:tblLayout w:type="fixed"/>
        <w:tblCellMar>
          <w:top w:w="28" w:type="dxa"/>
          <w:left w:w="28" w:type="dxa"/>
          <w:bottom w:w="28" w:type="dxa"/>
          <w:right w:w="28" w:type="dxa"/>
        </w:tblCellMar>
      </w:tblPr>
      <w:tblGrid>
        <w:gridCol w:w="3466"/>
        <w:gridCol w:w="146"/>
        <w:gridCol w:w="344"/>
        <w:gridCol w:w="1201"/>
        <w:gridCol w:w="166"/>
        <w:gridCol w:w="146"/>
        <w:gridCol w:w="334"/>
        <w:gridCol w:w="1166"/>
        <w:gridCol w:w="211"/>
      </w:tblGrid>
      <w:t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34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4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35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software,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(54,755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Depreciation expense was $3.0 million and $3.2 million for the three months ended September 30, 2026 and 2025, respectively, and $7.6 million and $9.7 million for the nine months ended September 30, 2026 and 2025, respectively. In the second quarter of 2025, the Company recognized non-cash impairment losses related to construction in progress, laboratory equipment, and leasehold improvements for the Company's manufacturing facility in Bothell, Washington (the Bothell facility) and a portion of the Company's laboratory and office space in Seattle, Washington (the Seattle facility). Refer to Note 11, Impairment of long-lived assets for further information. </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 xml:space="preserve">9. Accrued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compensation and accrued expenses and other current liabilities consist of the following:</w:t>
      </w:r>
    </w:p>
    <w:p>
      <w:pPr>
        <w:pStyle w:val="TextBody"/>
        <w:bidi w:val="0"/>
        <w:jc w:val="left"/>
      </w:pPr>
      <w:r>
        <w:t> </w:t>
      </w:r>
    </w:p>
    <w:tbl>
      <w:tblPr>
        <w:tblW w:w="8335" w:type="dxa"/>
        <w:jc w:val="left"/>
        <w:tblInd w:w="0" w:type="dxa"/>
        <w:tblLayout w:type="fixed"/>
        <w:tblCellMar>
          <w:top w:w="28" w:type="dxa"/>
          <w:left w:w="28" w:type="dxa"/>
          <w:bottom w:w="28" w:type="dxa"/>
          <w:right w:w="28" w:type="dxa"/>
        </w:tblCellMar>
      </w:tblPr>
      <w:tblGrid>
        <w:gridCol w:w="4461"/>
        <w:gridCol w:w="146"/>
        <w:gridCol w:w="367"/>
        <w:gridCol w:w="1178"/>
        <w:gridCol w:w="146"/>
        <w:gridCol w:w="146"/>
        <w:gridCol w:w="357"/>
        <w:gridCol w:w="1143"/>
        <w:gridCol w:w="391"/>
      </w:tblGrid>
      <w:t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446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46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33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bonuses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paid time off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payroll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research and development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accrued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4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Heading1"/>
        <w:bidi w:val="0"/>
        <w:spacing w:before="160" w:after="283"/>
        <w:jc w:val="left"/>
        <w:rPr>
          <w:rFonts w:ascii="Times New Roman" w:hAnsi="Times New Roman"/>
          <w:color w:val="000000"/>
          <w:sz w:val="20"/>
        </w:rPr>
      </w:pPr>
      <w:r>
        <w:rPr>
          <w:rFonts w:ascii="Times New Roman" w:hAnsi="Times New Roman"/>
          <w:color w:val="000000"/>
          <w:sz w:val="20"/>
        </w:rPr>
        <w:t xml:space="preserve">10. Commitments and contingencies </w:t>
      </w:r>
    </w:p>
    <w:p>
      <w:pPr>
        <w:pStyle w:val="Heading2"/>
        <w:bidi w:val="0"/>
        <w:spacing w:before="120" w:after="283"/>
        <w:jc w:val="left"/>
        <w:rPr>
          <w:rFonts w:ascii="Times New Roman" w:hAnsi="Times New Roman"/>
          <w:sz w:val="20"/>
        </w:rPr>
      </w:pPr>
      <w:r>
        <w:rPr>
          <w:rFonts w:ascii="Times New Roman" w:hAnsi="Times New Roman"/>
          <w:i/>
          <w:color w:val="000000"/>
          <w:sz w:val="20"/>
        </w:rPr>
        <w:t>Lease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lease portfolio primarily comprises operating leases for office, laboratory, and manufacturing space. These leases contain various rent abatement periods, after which they require monthly lease payments that may be subject to annual increases throughout the lease term. Certain leases include options to extend the term. The renewal option is considered in the remaining lease term for the lease only when the Company is reasonably certain it will renew the lease. Certain leases provide the Company with the right to make tenant improvements, including the addition of laboratory space or build-out of manufacturing capabilities, and include a lease incentive allowance.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2022, the Company entered into a lease agreement for 79,565 square feet of office, laboratory, and manufacturing space located in Bothell, Washington. The initial term of the lease expires in February 2039, with the option to extend the lease for up to three additional five-year terms. The lease agreement also provides for up to $19.9 million for reimbursement of tenant improvements, as well as an additional $8.0 million loan for tenant improvements, available at the Company’s election (the Tenant Improvement Loan). The Company elected to receive the Tenant Improvement Loan in the second quarter of 2024 and is obligated to repay to the landlord monthly over the initial term of the lease with interest at a rate of 6.5% per year. As of September 30, 2026, $0.4 million was included in accrued expenses and other current liabilities and $6.7 million was included in other non-current liabilities. The Company is obligated to pay base rent of approximately $68.8 million over the initial term of the lease. In accordance with the lease agreement, the Company has obtained a letter of credit in the amount of $1.6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second quarter of 2025, the Company recognized non-cash impairment losses for the operating lease right-of-use (ROU) asset, construction in progress, and laboratory equipment for the Bothell facility, and for the operating lease ROU assets, leasehold improvements, and laboratory equipment for the Seattle facility. The Company also recognized additional non-cash impairment losses for other long-lived assets. Refer to Note 11, Impairment of long-lived assets for further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third quarter of 2026, the Company entered into an amendment to the lease agreement for its facilities in South San Francisco, California, pursuant to which it terminated the lease with respect to a portion of the premises, effective as of April 30, 2027. In connection with the amendment, the Company paid a termination fee of approximately $3.8 million during the third quarter of 2026. The amendment was accounted for as a modification of the existing operating lease. As a result of the modification, the Company remeasured the operating lease liability and corresponding operating lease ROU asset during the third quarter of 2026, resulting in reductions of approximately $12.0 million to each of the operating lease liability and operating lease ROU asset.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contains additional information related to the Company’s operating leases as of September 30, 2026:</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1794"/>
        <w:gridCol w:w="146"/>
        <w:gridCol w:w="2372"/>
        <w:gridCol w:w="146"/>
        <w:gridCol w:w="1027"/>
        <w:gridCol w:w="146"/>
        <w:gridCol w:w="2252"/>
        <w:gridCol w:w="146"/>
        <w:gridCol w:w="2176"/>
      </w:tblGrid>
      <w:tr>
        <w:tc>
          <w:tcPr>
            <w:tcW w:w="1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c>
          <w:tcPr>
            <w:tcW w:w="1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Approximate </w:t>
              <w:br/>
              <w:t>Square Footage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Commencement Dates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Expiration Dates</w:t>
            </w:r>
          </w:p>
        </w:tc>
      </w:tr>
      <w:tr>
        <w:tc>
          <w:tcPr>
            <w:tcW w:w="1794"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Seattle, WA</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center"/>
            </w:pPr>
            <w:r>
              <w:t> </w:t>
            </w:r>
          </w:p>
        </w:tc>
        <w:tc>
          <w:tcPr>
            <w:tcW w:w="2372"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Office/Laboratory</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027"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48,000</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center"/>
            </w:pPr>
            <w:r>
              <w:t> </w:t>
            </w:r>
          </w:p>
        </w:tc>
        <w:tc>
          <w:tcPr>
            <w:tcW w:w="2252"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2019 to September 2020</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center"/>
            </w:pPr>
            <w:r>
              <w:t> </w:t>
            </w:r>
          </w:p>
        </w:tc>
        <w:tc>
          <w:tcPr>
            <w:tcW w:w="2176"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2026 to April 2028</w:t>
            </w:r>
          </w:p>
        </w:tc>
      </w:tr>
      <w:tr>
        <w:tc>
          <w:tcPr>
            <w:tcW w:w="179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Cambridge, 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3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Office/Laboratory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2019 to January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2028 to June 2028</w:t>
            </w:r>
          </w:p>
        </w:tc>
      </w:tr>
      <w:tr>
        <w:tc>
          <w:tcPr>
            <w:tcW w:w="1794"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South San Francisco, CA</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center"/>
            </w:pPr>
            <w:r>
              <w:t> </w:t>
            </w:r>
          </w:p>
        </w:tc>
        <w:tc>
          <w:tcPr>
            <w:tcW w:w="2372"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Office/Laboratory</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027"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99,000</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center"/>
            </w:pPr>
            <w:r>
              <w:t> </w:t>
            </w:r>
          </w:p>
        </w:tc>
        <w:tc>
          <w:tcPr>
            <w:tcW w:w="2252"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2019 to April 2022</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center"/>
            </w:pPr>
            <w:r>
              <w:t> </w:t>
            </w:r>
          </w:p>
        </w:tc>
        <w:tc>
          <w:tcPr>
            <w:tcW w:w="2176"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April 2027 to April 2030</w:t>
            </w:r>
          </w:p>
        </w:tc>
      </w:tr>
      <w:tr>
        <w:tc>
          <w:tcPr>
            <w:tcW w:w="179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Bothell, WA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3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Office/Laboratory/Manufacturing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2039</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Throughout the term of each lease agreement, the Company is responsible for paying, in addition to base rent, certain operating costs, such as common area maintenance, taxes, utilities, and insurance. These additional charges are considered variable lease costs and are recognized in the period in which the costs are incurred.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Company’s lease costs:</w:t>
      </w:r>
    </w:p>
    <w:p>
      <w:pPr>
        <w:pStyle w:val="TextBody"/>
        <w:bidi w:val="0"/>
        <w:jc w:val="left"/>
      </w:pPr>
      <w:r>
        <w:t> </w:t>
      </w:r>
    </w:p>
    <w:tbl>
      <w:tblPr>
        <w:tblW w:w="7708" w:type="dxa"/>
        <w:jc w:val="left"/>
        <w:tblInd w:w="0" w:type="dxa"/>
        <w:tblLayout w:type="fixed"/>
        <w:tblCellMar>
          <w:top w:w="28" w:type="dxa"/>
          <w:left w:w="28" w:type="dxa"/>
          <w:bottom w:w="28" w:type="dxa"/>
          <w:right w:w="28" w:type="dxa"/>
        </w:tblCellMar>
      </w:tblPr>
      <w:tblGrid>
        <w:gridCol w:w="1801"/>
        <w:gridCol w:w="146"/>
        <w:gridCol w:w="305"/>
        <w:gridCol w:w="826"/>
        <w:gridCol w:w="211"/>
        <w:gridCol w:w="211"/>
        <w:gridCol w:w="305"/>
        <w:gridCol w:w="826"/>
        <w:gridCol w:w="146"/>
        <w:gridCol w:w="146"/>
        <w:gridCol w:w="265"/>
        <w:gridCol w:w="849"/>
        <w:gridCol w:w="183"/>
        <w:gridCol w:w="183"/>
        <w:gridCol w:w="265"/>
        <w:gridCol w:w="849"/>
        <w:gridCol w:w="191"/>
      </w:tblGrid>
      <w:t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18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8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8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7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13,467</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6,637</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22,176</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29,623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2026, the weighted-average remaining lease term was 7.8 years, and the weighted-average incremental borrowing rate was 11.4%.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reconciles the Company’s undiscounted operating lease cash flows by fiscal year to the present value of the operating lease liabilities as of September 30, 2026 (in thousands):</w:t>
      </w:r>
    </w:p>
    <w:p>
      <w:pPr>
        <w:pStyle w:val="TextBody"/>
        <w:bidi w:val="0"/>
        <w:jc w:val="left"/>
      </w:pPr>
      <w:r>
        <w:t> </w:t>
      </w:r>
    </w:p>
    <w:tbl>
      <w:tblPr>
        <w:tblW w:w="5415" w:type="dxa"/>
        <w:jc w:val="left"/>
        <w:tblInd w:w="0" w:type="dxa"/>
        <w:tblLayout w:type="fixed"/>
        <w:tblCellMar>
          <w:top w:w="28" w:type="dxa"/>
          <w:left w:w="28" w:type="dxa"/>
          <w:bottom w:w="28" w:type="dxa"/>
          <w:right w:w="28" w:type="dxa"/>
        </w:tblCellMar>
      </w:tblPr>
      <w:tblGrid>
        <w:gridCol w:w="4111"/>
        <w:gridCol w:w="146"/>
        <w:gridCol w:w="211"/>
        <w:gridCol w:w="736"/>
        <w:gridCol w:w="211"/>
      </w:tblGrid>
      <w:t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4111"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 3 months)</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5,663</w:t>
            </w:r>
          </w:p>
        </w:tc>
        <w:tc>
          <w:tcPr>
            <w:tcW w:w="211" w:type="dxa"/>
            <w:tcBorders/>
            <w:shd w:fill="CEF0FC" w:val="clear"/>
            <w:tcMar>
              <w:top w:w="0" w:type="dxa"/>
              <w:left w:w="0" w:type="dxa"/>
              <w:bottom w:w="0" w:type="dxa"/>
              <w:right w:w="0" w:type="dxa"/>
            </w:tcMar>
            <w:vAlign w:val="center"/>
          </w:tcPr>
          <w:p>
            <w:pPr>
              <w:pStyle w:val="TableContents"/>
              <w:bidi w:val="0"/>
              <w:spacing w:before="0" w:after="283"/>
              <w:jc w:val="left"/>
            </w:pPr>
            <w:r>
              <w:t> </w:t>
            </w:r>
          </w:p>
        </w:tc>
      </w:tr>
      <w:t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111"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9,534</w:t>
            </w:r>
          </w:p>
        </w:tc>
        <w:tc>
          <w:tcPr>
            <w:tcW w:w="211" w:type="dxa"/>
            <w:tcBorders/>
            <w:shd w:fill="CEF0FC" w:val="clear"/>
            <w:tcMar>
              <w:top w:w="0" w:type="dxa"/>
              <w:left w:w="0" w:type="dxa"/>
              <w:bottom w:w="0" w:type="dxa"/>
              <w:right w:w="0" w:type="dxa"/>
            </w:tcMar>
            <w:vAlign w:val="center"/>
          </w:tcPr>
          <w:p>
            <w:pPr>
              <w:pStyle w:val="TableContents"/>
              <w:bidi w:val="0"/>
              <w:spacing w:before="0" w:after="283"/>
              <w:jc w:val="left"/>
            </w:pPr>
            <w:r>
              <w:t> </w:t>
            </w:r>
          </w:p>
        </w:tc>
      </w:tr>
      <w:t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111"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5,496</w:t>
            </w:r>
          </w:p>
        </w:tc>
        <w:tc>
          <w:tcPr>
            <w:tcW w:w="211" w:type="dxa"/>
            <w:tcBorders/>
            <w:shd w:fill="CEF0FC" w:val="clear"/>
            <w:tcMar>
              <w:top w:w="0" w:type="dxa"/>
              <w:left w:w="0" w:type="dxa"/>
              <w:bottom w:w="0" w:type="dxa"/>
              <w:right w:w="0" w:type="dxa"/>
            </w:tcMar>
            <w:vAlign w:val="center"/>
          </w:tcPr>
          <w:p>
            <w:pPr>
              <w:pStyle w:val="TableContents"/>
              <w:bidi w:val="0"/>
              <w:spacing w:before="0" w:after="283"/>
              <w:jc w:val="left"/>
            </w:pPr>
            <w:r>
              <w:t> </w:t>
            </w:r>
          </w:p>
        </w:tc>
      </w:tr>
      <w:t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40,943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111"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lease payments</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85,516</w:t>
            </w:r>
          </w:p>
        </w:tc>
        <w:tc>
          <w:tcPr>
            <w:tcW w:w="211" w:type="dxa"/>
            <w:tcBorders/>
            <w:shd w:fill="CEF0FC" w:val="clear"/>
            <w:tcMar>
              <w:top w:w="0" w:type="dxa"/>
              <w:left w:w="0" w:type="dxa"/>
              <w:bottom w:w="0" w:type="dxa"/>
              <w:right w:w="0" w:type="dxa"/>
            </w:tcMar>
            <w:vAlign w:val="center"/>
          </w:tcPr>
          <w:p>
            <w:pPr>
              <w:pStyle w:val="TableContents"/>
              <w:bidi w:val="0"/>
              <w:spacing w:before="0" w:after="283"/>
              <w:jc w:val="left"/>
            </w:pPr>
            <w:r>
              <w:t> </w:t>
            </w:r>
          </w:p>
        </w:tc>
      </w:tr>
      <w:t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111"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operating lease liabilities</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top w:val="single" w:sz="4" w:space="0" w:color="000000"/>
              <w:bottom w:val="single" w:sz="4" w:space="0" w:color="000000"/>
            </w:tcBorders>
            <w:shd w:fill="CEF0FC" w:val="clear"/>
            <w:tcMar>
              <w:left w:w="0" w:type="dxa"/>
              <w:right w:w="0" w:type="dxa"/>
            </w:tcMar>
            <w:vAlign w:val="center"/>
          </w:tcPr>
          <w:p>
            <w:pPr>
              <w:pStyle w:val="TableContents"/>
              <w:bidi w:val="0"/>
              <w:spacing w:before="0" w:after="283"/>
              <w:jc w:val="left"/>
            </w:pPr>
            <w:r>
              <w:t> </w:t>
            </w:r>
          </w:p>
        </w:tc>
        <w:tc>
          <w:tcPr>
            <w:tcW w:w="736" w:type="dxa"/>
            <w:tcBorders>
              <w:top w:val="single" w:sz="4" w:space="0" w:color="000000"/>
              <w:bottom w:val="single" w:sz="4" w:space="0" w:color="000000"/>
            </w:tcBorders>
            <w:shd w:fill="CE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53,840</w:t>
            </w:r>
          </w:p>
        </w:tc>
        <w:tc>
          <w:tcPr>
            <w:tcW w:w="211" w:type="dxa"/>
            <w:tcBorders>
              <w:top w:val="single" w:sz="4" w:space="0" w:color="000000"/>
              <w:bottom w:val="single" w:sz="4" w:space="0" w:color="000000"/>
            </w:tcBorders>
            <w:shd w:fill="CEF0FC" w:val="clear"/>
            <w:tcMar>
              <w:left w:w="0" w:type="dxa"/>
              <w:right w:w="0" w:type="dxa"/>
            </w:tcMar>
            <w:vAlign w:val="center"/>
          </w:tcPr>
          <w:p>
            <w:pPr>
              <w:pStyle w:val="TableContents"/>
              <w:bidi w:val="0"/>
              <w:spacing w:before="0" w:after="283"/>
              <w:jc w:val="left"/>
            </w:pPr>
            <w:r>
              <w:t> </w:t>
            </w:r>
          </w:p>
        </w:tc>
      </w:tr>
      <w:t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111"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40,524</w:t>
            </w:r>
          </w:p>
        </w:tc>
        <w:tc>
          <w:tcPr>
            <w:tcW w:w="211"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Heading1"/>
        <w:bidi w:val="0"/>
        <w:spacing w:before="240" w:after="283"/>
        <w:jc w:val="left"/>
        <w:rPr>
          <w:rFonts w:ascii="Times New Roman" w:hAnsi="Times New Roman"/>
          <w:color w:val="000000"/>
          <w:sz w:val="20"/>
        </w:rPr>
      </w:pPr>
      <w:r>
        <w:rPr>
          <w:rFonts w:ascii="Times New Roman" w:hAnsi="Times New Roman"/>
          <w:color w:val="000000"/>
          <w:sz w:val="20"/>
        </w:rPr>
        <w:t>11. Impairment of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changes in business plans during the second quarter of 2025 and the Company's intention to pursue potential subleases for the Bothell facility and the Seattle facility, due in part to the Company’s decision to suspend further build-out of its internal manufacturing capabilities at the Bothell facility in the-near term due to increased availability of manufacturing capacity at third-party contract development and manufacturing organizations for cell and gene therapy products, as well as progress in understanding its near-term manufacturing needs, and other factors, the Company determined that a triggering event occurred and performed an impairment analysis during the second quarter of 2025. For the Bothell facility, the Company determined that the combined operating lease ROU asset and construction in progress were not fully recoverable as the carrying value exceeded the estimated fair value and recorded a non-cash impairment loss of $34.2 million in the second quarter of 2025 for this asset group. For the Seattle facility, the Company determined that the combined operating lease ROU asset and leasehold improvements were not fully recoverable as the carrying value exceeded the estimated fair value and recorded a non-cash impairment loss of $3.8 million for this asset group. In addition, in connection with the Bothell facility and the Seattle facility, the Company recognized non-cash impairment losses related to laboratory equipment of $3.8 million and $2.0 million, respectively. The Company also recognized an additional $0.8 million non-cash impairment loss for other long-lived assets. The losses were recorded in operating expenses in the statement of operations in the second quarter of 2025. There was no impairment of long-lived assets for the three and nine months ended September 30, 2026.</w:t>
      </w:r>
    </w:p>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pPr>
      <w:r/>
    </w:p>
    <w:p>
      <w:pPr>
        <w:pStyle w:val="TextBody"/>
        <w:bidi w:val="0"/>
        <w:jc w:val="left"/>
      </w:pPr>
      <w:r>
        <w:t> </w:t>
      </w:r>
    </w:p>
    <w:p>
      <w:pPr>
        <w:pStyle w:val="Heading1"/>
        <w:bidi w:val="0"/>
        <w:spacing w:before="240" w:after="283"/>
        <w:jc w:val="left"/>
        <w:rPr>
          <w:rFonts w:ascii="Times New Roman" w:hAnsi="Times New Roman"/>
          <w:color w:val="000000"/>
          <w:sz w:val="20"/>
        </w:rPr>
      </w:pPr>
      <w:r>
        <w:rPr>
          <w:rFonts w:ascii="Times New Roman" w:hAnsi="Times New Roman"/>
          <w:color w:val="000000"/>
          <w:sz w:val="20"/>
        </w:rPr>
        <w:t xml:space="preserve">12. Stockholders’ equity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In April 2026, the Company entered into the SPA with Mayo Clinic pursuant to which Mayo Clinic purchased the Initial Shares at a price of $3.33 per share for gross proceeds of approximately $25.0 million, and had the option to elect, on or prior to August 31, 2026, to purchase the Additional Shares at a price of $3.33 per share for potential additional gross proceeds of approximately $25.0 million. Mayo Clinic did not elect to purchase the Additional Shares prior to the expiration of the option on August 31, 2026. The Company allocated approximately $21.3 million to common stock and additional paid-in capital associated with the Initial Shares and approximately $3.7 million to additional paid-in capital associated with the option to purchase the Additional Shares. Refer to Note 5, License and collaboration agreements for additional information.</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 March 2026, the Company entered into the Sales Agreement with TD Cowen, acting as sales agent, and filed a prospectus supplement with the SEC, pursuant to which the Company may offer and sell through TD Cowen up to $150.0 million of shares of the Company’s common stock from time to time under the ATM facility. During the quarter ended September 30, 2026, the Company did not sell any shares of common stock under the Sales Agreement.</w:t>
      </w:r>
    </w:p>
    <w:p>
      <w:pPr>
        <w:pStyle w:val="TextBody"/>
        <w:bidi w:val="0"/>
        <w:spacing w:before="240" w:after="283"/>
        <w:jc w:val="left"/>
        <w:rPr>
          <w:rFonts w:ascii="Times New Roman" w:hAnsi="Times New Roman"/>
          <w:sz w:val="20"/>
        </w:rPr>
      </w:pPr>
      <w:r>
        <w:rPr>
          <w:rFonts w:ascii="Times New Roman" w:hAnsi="Times New Roman"/>
          <w:color w:val="000000"/>
          <w:sz w:val="20"/>
        </w:rPr>
        <w:t>In August 2025, the Company completed an underwritten public offering pursuant to which it sold 24.3 million shares of its common stock, including 3.4 million shares pursuant to the full exercise of the underwriters' option to purchase additional shares, and pre-funded warrants to purchase 1.5 million shares of its common stock for net proceeds of approximately $80.6 million, after deducting underwriting discounts and commissions and offering expenses. The pre-funded warrants have an exercise price of $0.0001 per share of common stock. As the pre-funded warrants are indexed to the Company’s common stock and otherwise meet the requirements to be classified in equity, the Company recorded the consideration received from the issuance of the pre-funded warrants as additional paid-in capital on its consolidated balance sheet. The pre-funded warrants are exercisable at any time; however, the holders of pre-funded warrants may not exercise the warrant if the holder, together with its affiliates, would beneficially own more than 4.99% of the number of shares of the Company’s common stock outstanding immediately after giving effect to such exercise. The holders of pre-funded warrants may increase or decrease such percentages not in excess of 19.99% by providing at least 61 days’ prior notice to the Company. The pre-funded warrants do not expire. During the three and nine months ended September 30, 2026, no pre-funded warrants sold in this offering were exercised.</w:t>
      </w:r>
      <w:r>
        <w:rPr>
          <w:rFonts w:ascii="Times New Roman" w:hAnsi="Times New Roman"/>
          <w:color w:val="0070C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February 2024, the Company completed an underwritten public offering pursuant to which it sold 21.8 million shares of its common stock, including 4.5 million shares pursuant to the full exercise of the underwriters' option to purchase additional shares, and pre-funded warrants to purchase 12.7 million shares of its common stock, for net proceeds of approximately $180.0 million, after deducting underwriting discounts and commissions and offering expenses. The pre-funded warrants have an exercise price of $0.0001 per share of common stock. As the pre-funded warrants are indexed to the Company’s common stock and otherwise meet the requirements to be classified in equity, the Company recorded the consideration received from the issuance of the pre-funded warrants as additional paid-in capital on the Company’s consolidated balance sheet. The pre-funded warrants are exercisable at any time; however, the holders of pre-funded warrants may not exercise the warrant if the holder, together with its affiliates, would beneficially own more than 4.99% of the number of shares of the Company’s common stock outstanding immediately after giving effect to such exercise. The holders of pre-funded warrants may increase or decrease such percentages not in excess of 19.99% by providing at least 61 days’ prior notice to the Company. The pre-funded warrants do not expire. During the nine months ended September 30, 2026, 2.2 million pre-funded warrants sold in this offering were exercised.</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 xml:space="preserve">13. Stock-based compensation </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Equity incentive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2021, the Company adopted the 2021 Incentive Award Plan (2021 Plan) and the 2021 Employee Stock Purchase Plan (2021 ESPP), both of which became effective on the completion of the Company’s initial public offering. The 2021 Plan provides for a variety of stock-based compensation awards, including stock options, restricted stock awards (RSAs), and restricted stock units (RSUs). The 2021 ESPP allows eligible employees to purchase shares of the Company’s common stock at a discount through payroll deductions of up to 15% of their earnings, subject to plan limitations. Unless otherwise determined by the Company’s board of directors, employees may purchase shares at 85% of the lower of the fair market value of the Company’s common stock on the first date of an offering period or on the purchase date. As of September 30, 2026, 40.8 million shares and 5.7 million shares were available for future issuance under the 2021 Plan and the 2021 ESPP,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pPr>
      <w:r/>
    </w:p>
    <w:p>
      <w:pPr>
        <w:pStyle w:val="TextBody"/>
        <w:bidi w:val="0"/>
        <w:jc w:val="left"/>
      </w:pPr>
      <w:r>
        <w:t> </w:t>
      </w:r>
    </w:p>
    <w:p>
      <w:pPr>
        <w:pStyle w:val="Heading2"/>
        <w:bidi w:val="0"/>
        <w:spacing w:before="360" w:after="283"/>
        <w:jc w:val="left"/>
        <w:rPr>
          <w:rFonts w:ascii="Times New Roman" w:hAnsi="Times New Roman"/>
          <w:sz w:val="20"/>
        </w:rPr>
      </w:pPr>
      <w:r>
        <w:rPr>
          <w:rFonts w:ascii="Times New Roman" w:hAnsi="Times New Roman"/>
          <w:i/>
          <w:color w:val="000000"/>
          <w:sz w:val="20"/>
        </w:rPr>
        <w:t>Stock-based compensation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 expense is recognized in the condensed consolidated statements of operations as follows:</w:t>
      </w:r>
    </w:p>
    <w:p>
      <w:pPr>
        <w:pStyle w:val="TextBody"/>
        <w:bidi w:val="0"/>
        <w:jc w:val="left"/>
      </w:pPr>
      <w:r>
        <w:t> </w:t>
      </w:r>
    </w:p>
    <w:tbl>
      <w:tblPr>
        <w:tblW w:w="9758" w:type="dxa"/>
        <w:jc w:val="left"/>
        <w:tblInd w:w="0" w:type="dxa"/>
        <w:tblLayout w:type="fixed"/>
        <w:tblCellMar>
          <w:top w:w="28" w:type="dxa"/>
          <w:left w:w="28" w:type="dxa"/>
          <w:bottom w:w="28" w:type="dxa"/>
          <w:right w:w="28" w:type="dxa"/>
        </w:tblCellMar>
      </w:tblPr>
      <w:tblGrid>
        <w:gridCol w:w="3651"/>
        <w:gridCol w:w="346"/>
        <w:gridCol w:w="305"/>
        <w:gridCol w:w="826"/>
        <w:gridCol w:w="211"/>
        <w:gridCol w:w="211"/>
        <w:gridCol w:w="305"/>
        <w:gridCol w:w="826"/>
        <w:gridCol w:w="146"/>
        <w:gridCol w:w="146"/>
        <w:gridCol w:w="265"/>
        <w:gridCol w:w="849"/>
        <w:gridCol w:w="183"/>
        <w:gridCol w:w="183"/>
        <w:gridCol w:w="265"/>
        <w:gridCol w:w="849"/>
        <w:gridCol w:w="191"/>
      </w:tblGrid>
      <w:tr>
        <w:tc>
          <w:tcPr>
            <w:tcW w:w="36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36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6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6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7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9,305</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7,024</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16,329</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Unrecognized stock-based compensation costs related to unvested awards and the weighted-average period over which the costs are expected to be recognized as of September 30, 2026 are as follows: </w:t>
      </w:r>
    </w:p>
    <w:p>
      <w:pPr>
        <w:pStyle w:val="TextBody"/>
        <w:bidi w:val="0"/>
        <w:jc w:val="left"/>
      </w:pPr>
      <w:r>
        <w:t> </w:t>
      </w:r>
    </w:p>
    <w:tbl>
      <w:tblPr>
        <w:tblW w:w="8383" w:type="dxa"/>
        <w:jc w:val="left"/>
        <w:tblInd w:w="0" w:type="dxa"/>
        <w:tblLayout w:type="fixed"/>
        <w:tblCellMar>
          <w:top w:w="28" w:type="dxa"/>
          <w:left w:w="28" w:type="dxa"/>
          <w:bottom w:w="28" w:type="dxa"/>
          <w:right w:w="28" w:type="dxa"/>
        </w:tblCellMar>
      </w:tblPr>
      <w:tblGrid>
        <w:gridCol w:w="5596"/>
        <w:gridCol w:w="146"/>
        <w:gridCol w:w="267"/>
        <w:gridCol w:w="858"/>
        <w:gridCol w:w="146"/>
        <w:gridCol w:w="146"/>
        <w:gridCol w:w="211"/>
        <w:gridCol w:w="676"/>
        <w:gridCol w:w="146"/>
        <w:gridCol w:w="191"/>
      </w:tblGrid>
      <w:tr>
        <w:tc>
          <w:tcPr>
            <w:tcW w:w="5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559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5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stock-based compensation expense (in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period costs expected to be recognized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Heading2"/>
        <w:bidi w:val="0"/>
        <w:jc w:val="left"/>
      </w:pPr>
      <w:r>
        <w:t> </w:t>
      </w:r>
    </w:p>
    <w:p>
      <w:pPr>
        <w:pStyle w:val="Heading2"/>
        <w:bidi w:val="0"/>
        <w:spacing w:before="160" w:after="283"/>
        <w:jc w:val="left"/>
        <w:rPr>
          <w:rFonts w:ascii="Times New Roman" w:hAnsi="Times New Roman"/>
          <w:sz w:val="20"/>
        </w:rPr>
      </w:pPr>
      <w:r>
        <w:rPr>
          <w:rFonts w:ascii="Times New Roman" w:hAnsi="Times New Roman"/>
          <w:i/>
          <w:color w:val="000000"/>
          <w:sz w:val="20"/>
        </w:rPr>
        <w:t>Stock options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summary of the Company’s stock option activity is as follows: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3166"/>
        <w:gridCol w:w="146"/>
        <w:gridCol w:w="204"/>
        <w:gridCol w:w="957"/>
        <w:gridCol w:w="166"/>
        <w:gridCol w:w="146"/>
        <w:gridCol w:w="458"/>
        <w:gridCol w:w="1013"/>
        <w:gridCol w:w="146"/>
        <w:gridCol w:w="146"/>
        <w:gridCol w:w="423"/>
        <w:gridCol w:w="1048"/>
        <w:gridCol w:w="146"/>
        <w:gridCol w:w="146"/>
        <w:gridCol w:w="356"/>
        <w:gridCol w:w="1144"/>
        <w:gridCol w:w="394"/>
      </w:tblGrid>
      <w:t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c>
          <w:tcPr>
            <w:tcW w:w="3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Stock Options </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Exercise Price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Remaining</w:t>
              <w:br/>
              <w:t xml:space="preserve">Contractual Life </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w:t>
              <w:br/>
              <w:t>Value</w:t>
              <w:br/>
              <w:t>(in thousands)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11,384</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7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September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September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2,481</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stock options granted to employees, directors, and consultants was estimated on the date of grant using the Black-Scholes option pricing model using the following assumptions:</w:t>
      </w:r>
    </w:p>
    <w:p>
      <w:pPr>
        <w:pStyle w:val="TextBody"/>
        <w:bidi w:val="0"/>
        <w:jc w:val="left"/>
      </w:pPr>
      <w:r>
        <w:t> </w:t>
      </w:r>
    </w:p>
    <w:tbl>
      <w:tblPr>
        <w:tblW w:w="4705" w:type="dxa"/>
        <w:jc w:val="left"/>
        <w:tblInd w:w="0" w:type="dxa"/>
        <w:tblLayout w:type="fixed"/>
        <w:tblCellMar>
          <w:top w:w="28" w:type="dxa"/>
          <w:left w:w="28" w:type="dxa"/>
          <w:bottom w:w="28" w:type="dxa"/>
          <w:right w:w="28" w:type="dxa"/>
        </w:tblCellMar>
      </w:tblPr>
      <w:tblGrid>
        <w:gridCol w:w="1876"/>
        <w:gridCol w:w="146"/>
        <w:gridCol w:w="1351"/>
        <w:gridCol w:w="146"/>
        <w:gridCol w:w="1186"/>
      </w:tblGrid>
      <w:t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c>
          <w:tcPr>
            <w:tcW w:w="187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r>
      <w:t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Assumptions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 – 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 – 4.4%</w:t>
            </w:r>
          </w:p>
        </w:tc>
      </w:tr>
      <w:t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77.5% – 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75.0%</w:t>
            </w:r>
          </w:p>
        </w:tc>
      </w:tr>
      <w:t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5.50 – 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5.43 – 6.50</w:t>
            </w:r>
          </w:p>
        </w:tc>
      </w:tr>
      <w:t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additional information related to stock option activity:</w:t>
      </w:r>
    </w:p>
    <w:p>
      <w:pPr>
        <w:pStyle w:val="TextBody"/>
        <w:bidi w:val="0"/>
        <w:jc w:val="left"/>
      </w:pPr>
      <w:r>
        <w:t> </w:t>
      </w:r>
    </w:p>
    <w:tbl>
      <w:tblPr>
        <w:tblW w:w="8540" w:type="dxa"/>
        <w:jc w:val="left"/>
        <w:tblInd w:w="0" w:type="dxa"/>
        <w:tblLayout w:type="fixed"/>
        <w:tblCellMar>
          <w:top w:w="28" w:type="dxa"/>
          <w:left w:w="28" w:type="dxa"/>
          <w:bottom w:w="28" w:type="dxa"/>
          <w:right w:w="28" w:type="dxa"/>
        </w:tblCellMar>
      </w:tblPr>
      <w:tblGrid>
        <w:gridCol w:w="5611"/>
        <w:gridCol w:w="146"/>
        <w:gridCol w:w="312"/>
        <w:gridCol w:w="690"/>
        <w:gridCol w:w="216"/>
        <w:gridCol w:w="216"/>
        <w:gridCol w:w="312"/>
        <w:gridCol w:w="846"/>
        <w:gridCol w:w="191"/>
      </w:tblGrid>
      <w:tr>
        <w:tc>
          <w:tcPr>
            <w:tcW w:w="5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56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6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grant date fair value per share for options 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Aggregate intrinsic value of stock options exercised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pPr>
      <w:r/>
    </w:p>
    <w:p>
      <w:pPr>
        <w:pStyle w:val="TextBody"/>
        <w:bidi w:val="0"/>
        <w:jc w:val="left"/>
      </w:pPr>
      <w:r>
        <w:t> </w:t>
      </w:r>
    </w:p>
    <w:p>
      <w:pPr>
        <w:pStyle w:val="Heading2"/>
        <w:bidi w:val="0"/>
        <w:jc w:val="left"/>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summary of the Company’s RSU activity is as follows:</w:t>
      </w:r>
    </w:p>
    <w:p>
      <w:pPr>
        <w:pStyle w:val="TextBody"/>
        <w:bidi w:val="0"/>
        <w:jc w:val="left"/>
      </w:pPr>
      <w:r>
        <w:t> </w:t>
      </w:r>
    </w:p>
    <w:tbl>
      <w:tblPr>
        <w:tblW w:w="6562" w:type="dxa"/>
        <w:jc w:val="left"/>
        <w:tblInd w:w="0" w:type="dxa"/>
        <w:tblLayout w:type="fixed"/>
        <w:tblCellMar>
          <w:top w:w="28" w:type="dxa"/>
          <w:left w:w="28" w:type="dxa"/>
          <w:bottom w:w="28" w:type="dxa"/>
          <w:right w:w="28" w:type="dxa"/>
        </w:tblCellMar>
      </w:tblPr>
      <w:tblGrid>
        <w:gridCol w:w="2971"/>
        <w:gridCol w:w="146"/>
        <w:gridCol w:w="211"/>
        <w:gridCol w:w="914"/>
        <w:gridCol w:w="166"/>
        <w:gridCol w:w="146"/>
        <w:gridCol w:w="458"/>
        <w:gridCol w:w="1013"/>
        <w:gridCol w:w="146"/>
        <w:gridCol w:w="391"/>
      </w:tblGrid>
      <w:t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29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RSUs </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RSUs</w:t>
              <w:br/>
              <w:t>Weighted-Average</w:t>
              <w:br/>
              <w:t>Grant Date Fair</w:t>
              <w:br/>
              <w:t>Value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September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RSUs that vested during the nine months ended September 30, 2026 and 2025 was $4.3 million and $3.1 million, respectively.</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 xml:space="preserve">14. Income taxes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income tax provision for interim periods is determined using an estimate of the Company’s annual effective tax rate, adjusted for discrete items arising in the quarter. The Company’s effective tax rate differs from the U.S. statutory tax rate primarily due to a valuation allowance on the deferred tax assets. Deferred tax assets and deferred tax liabilities are recognized based on temporary differences between the financial reporting and tax basis of assets and liabilities using statutory rates. A valuation allowance is recorded against deferred tax assets if it is more likely than not that some or all of the deferred tax assets will not be realized. Due to the uncertainty surrounding the realization of the favorable tax attributes in future tax returns, the Company has recorded a full valuation allowance against the Company’s otherwise recognizable net deferred tax assets.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applies judgment in its determination of the financial statement recognition and measurement of tax positions taken or expected to be taken in a tax return. As of September 30, 2026 and December 31, 2025, the Company’s uncertain tax positions were immaterial.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One Big Beautiful Bill Act (OBBBA), enacted on July 4, 2025, introduced notable changes to the U.S. Internal Revenue Code, including immediate expensing of domestic research and development costs that are incident to the development or improvement of a product, process, formula, invention, computer software, or technique. As previously required under the Tax Cuts and Jobs Act, the Company capitalized research and development expenditures in the years ended December 31, 2022 through December 31, 2024. With the enactment of OBBBA, the Company began deducting domestic research and development costs in 2025.</w:t>
      </w:r>
    </w:p>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pPr>
      <w:r/>
    </w:p>
    <w:p>
      <w:pPr>
        <w:pStyle w:val="TextBody"/>
        <w:bidi w:val="0"/>
        <w:jc w:val="left"/>
      </w:pPr>
      <w:r>
        <w:t> </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15. Net income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income (loss) per common share is calculated by dividing net income (loss) attributable to common stockholders by the weighted-average number of common shares outstanding during the relevant period, without consideration of potentially dilutive securities. Diluted net income (loss) per common share is calculated by dividing net income (loss) attributable to common stockholders by the weighted-average number of shares of common stock outstanding during the relevant period, adjusted for the effect of potentially dilutive securities. The dilutive effect of RSUs and stock options are calculated using the treasury stock method.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calculation of basic and diluted net income (loss) per share of common stock:</w:t>
      </w:r>
    </w:p>
    <w:p>
      <w:pPr>
        <w:pStyle w:val="TextBody"/>
        <w:bidi w:val="0"/>
        <w:spacing w:before="120" w:after="283"/>
        <w:jc w:val="left"/>
      </w:pPr>
      <w:r>
        <w:t> </w:t>
      </w:r>
    </w:p>
    <w:tbl>
      <w:tblPr>
        <w:tblW w:w="10205" w:type="dxa"/>
        <w:jc w:val="left"/>
        <w:tblInd w:w="0" w:type="dxa"/>
        <w:tblLayout w:type="fixed"/>
        <w:tblCellMar>
          <w:top w:w="28" w:type="dxa"/>
          <w:left w:w="28" w:type="dxa"/>
          <w:bottom w:w="28" w:type="dxa"/>
          <w:right w:w="28" w:type="dxa"/>
        </w:tblCellMar>
      </w:tblPr>
      <w:tblGrid>
        <w:gridCol w:w="4313"/>
        <w:gridCol w:w="146"/>
        <w:gridCol w:w="245"/>
        <w:gridCol w:w="909"/>
        <w:gridCol w:w="169"/>
        <w:gridCol w:w="169"/>
        <w:gridCol w:w="245"/>
        <w:gridCol w:w="909"/>
        <w:gridCol w:w="166"/>
        <w:gridCol w:w="146"/>
        <w:gridCol w:w="230"/>
        <w:gridCol w:w="853"/>
        <w:gridCol w:w="180"/>
        <w:gridCol w:w="158"/>
        <w:gridCol w:w="230"/>
        <w:gridCol w:w="918"/>
        <w:gridCol w:w="219"/>
      </w:tblGrid>
      <w:tr>
        <w:tc>
          <w:tcPr>
            <w:tcW w:w="43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c>
          <w:tcPr>
            <w:tcW w:w="431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31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31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52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amounts)</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net income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r>
      <w:tr>
        <w:tc>
          <w:tcPr>
            <w:tcW w:w="4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20,401</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(90,444</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(185,341</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common shares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307,002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293,286</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245,580</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net income (loss)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3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4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 net income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4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20,401</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(90,444</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(185,341</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common shares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307,002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293,286</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245,580</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4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and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common shares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308,790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293,286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245,580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income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securities were excluded from the computation of net income (loss) per diluted share of common stock for periods presented as their effect would have been anti-dilutive:</w:t>
      </w:r>
    </w:p>
    <w:p>
      <w:pPr>
        <w:pStyle w:val="TextBody"/>
        <w:bidi w:val="0"/>
        <w:jc w:val="left"/>
      </w:pPr>
      <w:r>
        <w:t> </w:t>
      </w:r>
    </w:p>
    <w:tbl>
      <w:tblPr>
        <w:tblW w:w="8874" w:type="dxa"/>
        <w:jc w:val="left"/>
        <w:tblInd w:w="0" w:type="dxa"/>
        <w:tblLayout w:type="fixed"/>
        <w:tblCellMar>
          <w:top w:w="28" w:type="dxa"/>
          <w:left w:w="28" w:type="dxa"/>
          <w:bottom w:w="28" w:type="dxa"/>
          <w:right w:w="28" w:type="dxa"/>
        </w:tblCellMar>
      </w:tblPr>
      <w:tblGrid>
        <w:gridCol w:w="2971"/>
        <w:gridCol w:w="146"/>
        <w:gridCol w:w="202"/>
        <w:gridCol w:w="937"/>
        <w:gridCol w:w="202"/>
        <w:gridCol w:w="202"/>
        <w:gridCol w:w="202"/>
        <w:gridCol w:w="937"/>
        <w:gridCol w:w="146"/>
        <w:gridCol w:w="146"/>
        <w:gridCol w:w="195"/>
        <w:gridCol w:w="906"/>
        <w:gridCol w:w="195"/>
        <w:gridCol w:w="195"/>
        <w:gridCol w:w="195"/>
        <w:gridCol w:w="906"/>
        <w:gridCol w:w="191"/>
      </w:tblGrid>
      <w:t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297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97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97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8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25,744</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4,588</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26,990</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32,642</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color w:val="000000"/>
          <w:sz w:val="20"/>
        </w:rPr>
        <w:t>16. Employee benefit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2019, the Company adopted a 401(k) retirement and savings plan (the 401(k) Plan) covering all employees. The 401(k) Plan allows employees to make pre- and post-tax contributions up to the maximum allowable amount set by the IRS. The Company matches each participant’s 401(k) contributions in cash, up to $4,500 per year per participant, effective as of January 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You should read the following discussion and analysis of our financial condition and results of operations together with our unaudited condensed consolidated financial statements and the related notes included elsewhere in this Quarterly Report and our audited consolidated financial statements and notes thereto and the related Management’s Discussion and Analysis of Financial Condition and Results of Operations included as part of our Annual Report on Form 10-K for the year ended December 31, 2025, as filed with the SEC on March 3, 2026 (2025 Annual Report). This discussion and analysis and other parts of this Quarterly Report contain forward-looking statements that are based upon current beliefs, plans, and expectations related to future events and our future financial performance that involve risks, uncertainties, and assumptions, such as statements regarding our intentions, plans, objectives, and expectations for our business. Our actual results and the timing of selected events could differ materially from those described in or implied by these forward-looking statements as a result of numerous factors, including those set forth in the section of this Quarterly Report titled “Risk Factors.” See also the section of this Quarterly Report titled “Special Note Regarding Forward-Looking Statements.”</w:t>
      </w:r>
      <w:r>
        <w:rPr>
          <w:rFonts w:ascii="Times New Roman" w:hAnsi="Times New Roman"/>
          <w:color w:val="000000"/>
          <w:sz w:val="20"/>
        </w:rPr>
        <w:t xml:space="preserve"> </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Overview</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were founded on the belief that engineered cells will be one of the most important transformations in medicine over the next several decades. The burden of diseases that can be addressed at their root cause through engineered cells is significant. We view engineered cells as having the potential to be as therapeutically disruptive as biologic drugs to clinical practice, enabling us to repair cells in the body when possible and replace them when needed. We have developed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platforms to revolutionize treatment across a broad array of therapeutic areas with unmet treatment needs, including type 1 diabetes, oncology, and B-cell mediated autoimmune diseases.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our </w:t>
      </w:r>
      <w:r>
        <w:rPr>
          <w:rFonts w:ascii="Times New Roman" w:hAnsi="Times New Roman"/>
          <w:i/>
          <w:color w:val="000000"/>
          <w:sz w:val="20"/>
        </w:rPr>
        <w:t>ex vivo</w:t>
      </w:r>
      <w:r>
        <w:rPr>
          <w:rFonts w:ascii="Times New Roman" w:hAnsi="Times New Roman"/>
          <w:color w:val="000000"/>
          <w:sz w:val="20"/>
        </w:rPr>
        <w:t xml:space="preserve"> platform, we have made focused investments in our hypoimmune platform technology, which we refer to as our HIP technology, with the twin goals of engineering allogeneic cells that can "hide" from the patient's immune system to overcome the fundamental challenge of immune rejection and cell persistence, and that we can manufacture at scale. A successful therapeutic requires cells that can engraft, function, and persist in the body, and we believe our approach can unlock a wave of disruptive therapeutics, starting in type 1 diabetes. For </w:t>
      </w:r>
      <w:r>
        <w:rPr>
          <w:rFonts w:ascii="Times New Roman" w:hAnsi="Times New Roman"/>
          <w:i/>
          <w:color w:val="000000"/>
          <w:sz w:val="20"/>
        </w:rPr>
        <w:t xml:space="preserve">in vivo </w:t>
      </w:r>
      <w:r>
        <w:rPr>
          <w:rFonts w:ascii="Times New Roman" w:hAnsi="Times New Roman"/>
          <w:color w:val="000000"/>
          <w:sz w:val="20"/>
        </w:rPr>
        <w:t xml:space="preserve">therapies that aim to repair or control genes in the body, a successful product candidate requires both gene modification and </w:t>
      </w:r>
      <w:r>
        <w:rPr>
          <w:rFonts w:ascii="Times New Roman" w:hAnsi="Times New Roman"/>
          <w:i/>
          <w:color w:val="000000"/>
          <w:sz w:val="20"/>
        </w:rPr>
        <w:t>in vivo</w:t>
      </w:r>
      <w:r>
        <w:rPr>
          <w:rFonts w:ascii="Times New Roman" w:hAnsi="Times New Roman"/>
          <w:color w:val="000000"/>
          <w:sz w:val="20"/>
        </w:rPr>
        <w:t xml:space="preserve"> delivery of the therapeutic payload. Our initial focus is on cell-specific delivery of genetic payloads, known as chimeric antigen receptors (CARs), to a patient’s T cells, resulting in the generation and proliferation of CAR T cells, which have been shown to deplete a patient’s disease-causing B cells.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are currently focused on advancing three distinct therapeutics, each of which leverages one of these platform technologies. SC451 is our HIP-edited product candidate for the treatment of type 1 diabetes. SG293 is our </w:t>
      </w:r>
      <w:r>
        <w:rPr>
          <w:rFonts w:ascii="Times New Roman" w:hAnsi="Times New Roman"/>
          <w:i/>
          <w:color w:val="000000"/>
          <w:sz w:val="20"/>
        </w:rPr>
        <w:t xml:space="preserve">in vivo </w:t>
      </w:r>
      <w:r>
        <w:rPr>
          <w:rFonts w:ascii="Times New Roman" w:hAnsi="Times New Roman"/>
          <w:color w:val="000000"/>
          <w:sz w:val="20"/>
        </w:rPr>
        <w:t xml:space="preserve">CAR T product candidate for the treatment of B cell malignancies and B cell mediated autoimmune diseases, and SG227 is our </w:t>
      </w:r>
      <w:r>
        <w:rPr>
          <w:rFonts w:ascii="Times New Roman" w:hAnsi="Times New Roman"/>
          <w:i/>
          <w:color w:val="000000"/>
          <w:sz w:val="20"/>
        </w:rPr>
        <w:t xml:space="preserve">in vivo </w:t>
      </w:r>
      <w:r>
        <w:rPr>
          <w:rFonts w:ascii="Times New Roman" w:hAnsi="Times New Roman"/>
          <w:color w:val="000000"/>
          <w:sz w:val="20"/>
        </w:rPr>
        <w:t>CAR T product candidate for the treatment of multiple myeloma. We retain worldwide rights to each of these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color w:val="000000"/>
          <w:sz w:val="20"/>
        </w:rPr>
        <w:t>Type 1 Diabetes</w:t>
      </w:r>
      <w:r>
        <w:rPr>
          <w:rFonts w:ascii="Times New Roman" w:hAnsi="Times New Roman"/>
          <w:color w:val="000000"/>
          <w:sz w:val="20"/>
        </w:rPr>
        <w:t xml:space="preserve">: Almost ten million people suffer from type 1 diabetes (T1D) worldwide, and there has been limited progress in treatments for this disease since the advent of insulin injections over 100 years ago. We are developing SC451, a HIP-modified, stem cell-derived pancreatic islet cell therapy, for the treatment of T1D. The goal of this therapy is euglycemia, or normal blood glucose, without the need for exogenous insulin injections or immunosuppression. Through a first-in-human investigator-sponsored study (IST), we have shown that UP421, an allogeneic, primary islet cell therapy engineered with our HIP technology, can survive and function for 14 months post-transplant in a patient with T1D without the need for immunosuppression. We have incorporated this HIP technology into a more scalable manufacturing platform with SC451 and expect to file an investigational new drug application (IND) and begin a Phase 1/2 clinical trial for this therapy as early as this year.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i/>
          <w:color w:val="000000"/>
          <w:sz w:val="20"/>
        </w:rPr>
        <w:t>In vivo</w:t>
      </w:r>
      <w:r>
        <w:rPr>
          <w:rFonts w:ascii="Times New Roman" w:hAnsi="Times New Roman"/>
          <w:color w:val="000000"/>
          <w:sz w:val="20"/>
        </w:rPr>
        <w:t xml:space="preserve"> </w:t>
      </w:r>
      <w:r>
        <w:rPr>
          <w:rFonts w:ascii="Times New Roman" w:hAnsi="Times New Roman"/>
          <w:b/>
          <w:color w:val="000000"/>
          <w:sz w:val="20"/>
        </w:rPr>
        <w:t>CAR T cells</w:t>
      </w:r>
      <w:r>
        <w:rPr>
          <w:rFonts w:ascii="Times New Roman" w:hAnsi="Times New Roman"/>
          <w:color w:val="000000"/>
          <w:sz w:val="20"/>
        </w:rPr>
        <w:t xml:space="preserve">: Using our fusogen platform, which enables cell-specific, </w:t>
      </w:r>
      <w:r>
        <w:rPr>
          <w:rFonts w:ascii="Times New Roman" w:hAnsi="Times New Roman"/>
          <w:i/>
          <w:color w:val="000000"/>
          <w:sz w:val="20"/>
        </w:rPr>
        <w:t>in vivo</w:t>
      </w:r>
      <w:r>
        <w:rPr>
          <w:rFonts w:ascii="Times New Roman" w:hAnsi="Times New Roman"/>
          <w:color w:val="000000"/>
          <w:sz w:val="20"/>
        </w:rPr>
        <w:t xml:space="preserve"> delivery of various payloads, we are developing two </w:t>
      </w:r>
      <w:r>
        <w:rPr>
          <w:rFonts w:ascii="Times New Roman" w:hAnsi="Times New Roman"/>
          <w:i/>
          <w:color w:val="000000"/>
          <w:sz w:val="20"/>
        </w:rPr>
        <w:t xml:space="preserve">in vivo </w:t>
      </w:r>
      <w:r>
        <w:rPr>
          <w:rFonts w:ascii="Times New Roman" w:hAnsi="Times New Roman"/>
          <w:color w:val="000000"/>
          <w:sz w:val="20"/>
        </w:rPr>
        <w:t xml:space="preserve">CAR T cell product candidates, SG293 and SG227. </w:t>
      </w:r>
      <w:r>
        <w:rPr>
          <w:rFonts w:ascii="Times New Roman" w:hAnsi="Times New Roman"/>
          <w:i/>
          <w:color w:val="000000"/>
          <w:sz w:val="20"/>
        </w:rPr>
        <w:t>In vivo</w:t>
      </w:r>
      <w:r>
        <w:rPr>
          <w:rFonts w:ascii="Times New Roman" w:hAnsi="Times New Roman"/>
          <w:color w:val="000000"/>
          <w:sz w:val="20"/>
        </w:rPr>
        <w:t xml:space="preserve"> CAR T cells have the potential to provide the clinical benefit of autologous, </w:t>
      </w:r>
      <w:r>
        <w:rPr>
          <w:rFonts w:ascii="Times New Roman" w:hAnsi="Times New Roman"/>
          <w:i/>
          <w:color w:val="000000"/>
          <w:sz w:val="20"/>
        </w:rPr>
        <w:t>ex vivo</w:t>
      </w:r>
      <w:r>
        <w:rPr>
          <w:rFonts w:ascii="Times New Roman" w:hAnsi="Times New Roman"/>
          <w:color w:val="000000"/>
          <w:sz w:val="20"/>
        </w:rPr>
        <w:t xml:space="preserve"> manufactured CAR T cells while avoiding the need for lymphodepleting chemotherapy as well as significant complexity and bottlenecks related to manufacturing.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SG293 is a CD8-targeted fusosome that delivers genetic material to CD8+ T cells, which enables these cells to become CD19-targeting CAR T cells while avoiding potentially problematic delivery to tissues such as the liver and gonads. We plan to develop SG293 in a range of B cell cancers and B cell mediated autoimmune diseases and have the potential to share first-in-human data for this therapy in non-Hodgkin lymphoma as early as the first half of 2027.</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SG227 is a CD8-targeted fusosome that delivers the genetic material to make BCMA-directed CAR T cells. SG227 delivers a BCMA CAR that has been validated in the autologous CAR T setting for patients with multiple myeloma in a product that is currently approved in China. We plan to develop SG227 as a potential treatment for patients with multiple myeloma and are preparing to begin clinical testing as early as 2027, contingent upon the early clinical profile of SG293.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2025, in order to prioritize our resources and pursue promising data in the SC451 and fusogen programs, we announced our prioritization of further development of our SC451 and SG293 programs, and suspended development of our two allogeneic cell therapy CAR T programs – SC291 in B-cell mediated autoimmune diseases and SC262 in oncology. As part of these efforts, we are winding down the GLEAM Phase 1 clinical trial evaluating SC291 in B-cell mediated autoimmune diseases and the VIVID Phase 1 clinical trial evaluating SC262 in oncology.</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believe the time is right to develop engineered cell therapies in various therapeutic areas. Substantial progress in the understanding of genetics, gene editing, protein engineering, stem cell biology, immunology, process analytics, and computational biology have converged to create an opportunity to markedly increase the breadth and depth of the potential impact of cellular medicines. We continue to make progress developing our </w:t>
      </w:r>
      <w:r>
        <w:rPr>
          <w:rFonts w:ascii="Times New Roman" w:hAnsi="Times New Roman"/>
          <w:i/>
          <w:color w:val="000000"/>
          <w:sz w:val="20"/>
        </w:rPr>
        <w:t xml:space="preserve">ex vivo </w:t>
      </w:r>
      <w:r>
        <w:rPr>
          <w:rFonts w:ascii="Times New Roman" w:hAnsi="Times New Roman"/>
          <w:color w:val="000000"/>
          <w:sz w:val="20"/>
        </w:rPr>
        <w:t xml:space="preserve">cell engineering platform that leverages our HIP technology and our </w:t>
      </w:r>
      <w:r>
        <w:rPr>
          <w:rFonts w:ascii="Times New Roman" w:hAnsi="Times New Roman"/>
          <w:i/>
          <w:color w:val="000000"/>
          <w:sz w:val="20"/>
        </w:rPr>
        <w:t xml:space="preserve">in vivo </w:t>
      </w:r>
      <w:r>
        <w:rPr>
          <w:rFonts w:ascii="Times New Roman" w:hAnsi="Times New Roman"/>
          <w:color w:val="000000"/>
          <w:sz w:val="20"/>
        </w:rPr>
        <w:t xml:space="preserve">cell engineering platform that leverages our fusogen technology. Each of our programs provides the potential for meaningful standalone value while also supporting our potential ability to further exploit our platforms in a manner that leads to the development of broadly applicable medicines.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With respect to our </w:t>
      </w:r>
      <w:r>
        <w:rPr>
          <w:rFonts w:ascii="Times New Roman" w:hAnsi="Times New Roman"/>
          <w:i/>
          <w:color w:val="000000"/>
          <w:sz w:val="20"/>
        </w:rPr>
        <w:t>ex vivo</w:t>
      </w:r>
      <w:r>
        <w:rPr>
          <w:rFonts w:ascii="Times New Roman" w:hAnsi="Times New Roman"/>
          <w:color w:val="000000"/>
          <w:sz w:val="20"/>
        </w:rPr>
        <w:t xml:space="preserve"> cell engineering efforts, in July 2026, </w:t>
      </w:r>
      <w:r>
        <w:rPr>
          <w:rFonts w:ascii="Times New Roman" w:hAnsi="Times New Roman"/>
          <w:i/>
          <w:color w:val="000000"/>
          <w:sz w:val="20"/>
        </w:rPr>
        <w:t xml:space="preserve">The New England Journal of Medicine </w:t>
      </w:r>
      <w:r>
        <w:rPr>
          <w:rFonts w:ascii="Times New Roman" w:hAnsi="Times New Roman"/>
          <w:color w:val="000000"/>
          <w:sz w:val="20"/>
        </w:rPr>
        <w:t xml:space="preserve">published a peer-reviewed </w:t>
      </w:r>
      <w:r>
        <w:rPr>
          <w:rFonts w:ascii="Times New Roman" w:hAnsi="Times New Roman"/>
          <w:i/>
          <w:color w:val="000000"/>
          <w:sz w:val="20"/>
        </w:rPr>
        <w:t xml:space="preserve">Letter to the Editor </w:t>
      </w:r>
      <w:r>
        <w:rPr>
          <w:rFonts w:ascii="Times New Roman" w:hAnsi="Times New Roman"/>
          <w:color w:val="000000"/>
          <w:sz w:val="20"/>
        </w:rPr>
        <w:t xml:space="preserve">highlighting 14-month follow-up data from the IST, which demonstrated in a patient the continued safety of the transplanted pancreatic beta cells, as well as continued survival and function of these cells as measured by the presence of circulating C-peptide, a biomarker indicating that transplanted beta cells are producing insulin. C-peptide levels also increased during a mixed meal tolerance test, showing appropriate function of the transplanted islet cells.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With respect to our </w:t>
      </w:r>
      <w:r>
        <w:rPr>
          <w:rFonts w:ascii="Times New Roman" w:hAnsi="Times New Roman"/>
          <w:i/>
          <w:color w:val="000000"/>
          <w:sz w:val="20"/>
        </w:rPr>
        <w:t>in vivo</w:t>
      </w:r>
      <w:r>
        <w:rPr>
          <w:rFonts w:ascii="Times New Roman" w:hAnsi="Times New Roman"/>
          <w:color w:val="000000"/>
          <w:sz w:val="20"/>
        </w:rPr>
        <w:t xml:space="preserve"> cell engineering efforts, at the American Society of Gene &amp; Cell Therapy (ASGCT) 2026 Annual Meeting in May 2026, we presented data from a preclinical study using a surrogate for SG293 that delivers a CD20 CAR capable of targeting non-human primate (NHP) B cells in </w:t>
      </w:r>
      <w:r>
        <w:rPr>
          <w:rFonts w:ascii="Times New Roman" w:hAnsi="Times New Roman"/>
          <w:i/>
          <w:color w:val="000000"/>
          <w:sz w:val="20"/>
        </w:rPr>
        <w:t>cynomolgus</w:t>
      </w:r>
      <w:r>
        <w:rPr>
          <w:rFonts w:ascii="Times New Roman" w:hAnsi="Times New Roman"/>
          <w:color w:val="000000"/>
          <w:sz w:val="20"/>
        </w:rPr>
        <w:t xml:space="preserve"> macaques in the absence of lymphodepletion. A single intravenous injection of the SG293 surrogate to these NHPs resulted in robust </w:t>
      </w:r>
      <w:r>
        <w:rPr>
          <w:rFonts w:ascii="Times New Roman" w:hAnsi="Times New Roman"/>
          <w:i/>
          <w:color w:val="000000"/>
          <w:sz w:val="20"/>
        </w:rPr>
        <w:t>in vivo</w:t>
      </w:r>
      <w:r>
        <w:rPr>
          <w:rFonts w:ascii="Times New Roman" w:hAnsi="Times New Roman"/>
          <w:color w:val="000000"/>
          <w:sz w:val="20"/>
        </w:rPr>
        <w:t xml:space="preserve"> generation of CAR T cells and deep B cell depletion in the peripheral blood and lymph nodes. The B cell depletion was further confirmed by lymph node biopsies showing clearance of B cells as well as by “reset” of the NHPs’ B cell repertoire toward naïve B cells. We believe that deep B cell depletion in this preclinical model is the most significant biomarker for potential efficacy in patients with B cell cancers and B cell mediated autoimmune diseases. Separately, </w:t>
      </w:r>
      <w:r>
        <w:rPr>
          <w:rFonts w:ascii="Times New Roman" w:hAnsi="Times New Roman"/>
          <w:i/>
          <w:color w:val="000000"/>
          <w:sz w:val="20"/>
        </w:rPr>
        <w:t>in vitro</w:t>
      </w:r>
      <w:r>
        <w:rPr>
          <w:rFonts w:ascii="Times New Roman" w:hAnsi="Times New Roman"/>
          <w:color w:val="000000"/>
          <w:sz w:val="20"/>
        </w:rPr>
        <w:t xml:space="preserve"> studies using SG293 have shown selective gene delivery to CD8+ T cells with no detectable off-target transduction in tissues such as the liver and gonadal tissue, supporting the specificity of SG293.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continue to make progress on advancing our product candidates into and through preclinical development and toward potential IND submissions. As our product candidates advance toward potential IND submissions, we are conducting good laboratory practices toxicology studies and establishing necessary scale-up for our manufacturing processes.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continue to assess and prioritize our programs on an ongoing basis based on various factors, including internal and external opportunities and constraints, which may result in our decision to advance certain programs ahead or instead of others or suspend, discontinue, or divest certain programs that represent our current development focus. For details regarding our product candidates, see the section titled “Business—Overview” in Part I, Item 1 included in our 2025 Annual Report.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technologies represent an aggregation of years of innovation and technology from multiple academic institutions and companies, including hypoimmune technology licensed from the President and Fellows of Harvard College (Harvard) and The Regents of the University of California, fusogen technology acquired from Cobalt Biomedicine, Inc. (Cobalt), and gene editing technology licensed from Beam Therapeutics Inc. (Beam), among others. For details regarding these acquisitions and license and collaboration agreements, see Note 4, Acquisitions and Note 5, License and collaboration agreements to our condensed consolidated financial statements included elsewhere in this Quarterly Report, as well as the section titled “Business— Key Intellectual Property Agreements” in Part I, Item 1 included in our 2025 Annual Report.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Our operations to date have included developing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platforms, identifying and developing potential product candidates, executing preclinical studies, establishing manufacturing capabilities, conducting clinical trials of our product candidates, supporting clinical trials of product candidates developed using our technologies, acquiring technologies, staffing the company, business planning, establishing and maintaining our intellectual property portfolio, raising capital, and providing general and administrative support for these operations. All of our programs are currently in the development stage, and we do not have any products approved for sale. We have incurred net losses each year since our inception. Our net losses for the nine months ended September 30, 2026 and 2025 were $90.4 million and $185.3 million, respectively. As of September 30, 2026, we had an accumulated deficit of $1.9 billion. Our net losses resulted primarily from our research and development programs, and, to a lesser extent, general and administrative costs associated with our operations.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In April 2026, we entered into a stock purchase agreement (SPA) with Mayo Clinic pursuant to which Mayo Clinic purchased 7.5 million shares of our common stock (the Shares) at a price of $3.33 per share for gross proceeds of approximately $25.0 million. Pursuant to the SPA, we agreed to use the net proceeds from the sale of the Shares for the development of products upon which an affiliate of Mayo Clinic has the right to receive royalties pursuant to a collaboration and license agreement, dated April 10, 2026, between us and such affiliate (the License Agreement), including SC451 and certain genetically modified stem-cell derived islet cell products, as set forth in the License Agreement.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 March 2026, we entered into an amended and restated sales agreement (the Sales Agreement) with TD Securities (USA) LLC (TD Cowen), acting as sales agent, pursuant to which we may offer and sell through TD Cowen shares of our common stock from time to time in a series of one or more at the market equity offerings, and filed a prospectus supplement with the SEC pursuant to which we may offer and sell up to $150.0 million of shares of our common stock pursuant to the Sales Agreement (collectively, the ATM facility). During the quarter ended September 30, 2026, we did not sell any shares of common stock under the Sales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2025, we completed an underwritten public offering (the Offering) pursuant to which we sold 24.3 million shares of our common stock, including 3.4 million shares pursuant to the full exercise of the underwriters' option to purchase additional shares, and pre-funded warrants to purchase 1.5 million shares of our common stock for net proceeds of approximately $80.6 million, after deducting underwriting discounts and commissions and offering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2026, we had cash, cash equivalents, and marketable securities of $121.7 million. We will need to raise additional capital within the next 12 months and in the future to fund our operations, including conducting clinical trials and the commercialization of any approved product candidates. Until such time, if ever, as we can generate substantial product revenue, we expect to finance our operations with our existing cash, cash equivalents, and marketable securities, proceeds from any future equity or debt financings, and milestone, royalty, and other payments received under any future licenses, collaborations, or other arrangements. Additional capital may not be available on terms that are reasonable or acceptable to us, if at all. If we are unable to raise capital when needed or on attractive terms, our business, results of operations, and financial condition would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has determined that our present capital resources may not be sufficient to fund our planned operations for at least one year from the date of this Quarterly Report, and there is substantial doubt as to our ability to continue as a going concern. Our ability to continue as a going concern will depend on, among other things, our ability to obtain additional funding and appropriately manage the amount of cash used to fund our operations. We plan to address this condition through equity or debt offerings or capital obtained in connection with strategic collaborations or licensing or other arrangements. If we are unable to obtain such financing, we may be required to pursue alternative sources of capital which may not be available to us on favorable terms, if at all, or significantly modify our operational plans by delaying, reducing the scope of, or ceasing some or all of our research and development programs, or pursue strategic alternatives.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Although our historical portfolio prioritizations have enabled reduced operating expenses, our operating expenses may increase over the longer term if our future clinical trials are successful and if we expand our research and development efforts. Cost increases would be driven in large part by commencing and advancing our current and future product candidates through clinical trials; identifying additional product candidates; continuing to establish our manufacturing capabilities, including through third-party contract development and manufacturing organizations (CDMOs); initiating and advancing preclinical development of our current and future product candidates; advancing and expanding the capabilities of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platforms; acquiring and licensing technologies aligned with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platforms, or modifying the terms of existing acquisition or license arrangements; seeking regulatory approval of our current and future product candidates; engaging in commercialization activities for any of our product candidates for which we obtain marketing approval; increasing our personnel, including those required to support our research, clinical and preclinical development, manufacturing, and potential future commercialization efforts; expanding our operational, financial, and management systems; continuing to develop, prosecute, and defend our intellectual property portfolio; and continuing to incur legal, accounting, or other expenses to operate our business, including the costs associated with being a public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invested in building world class capabilities in key areas of manufacturing sciences and operations, including development of our cell engineering platforms, product characterization, and process analytics. Our investments also include scaled research solutions, scaled infrastructure, and novel technologies to improve efficiency, characterization, and scalability of manufacturing.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Macroeconomic and Other Considerations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and operations may be negatively affected by local and global economic, political, and regulatory developments and conditions, such as changes in trade policies (including sanctions, treaties, tariffs, regulatory requirements, and other limitations on cross-border operations and international trade), changes in inflation and fluctuations in interest rates, instability in the banking and financial services sector, declines in consumer confidence, declines in economic growth, uncertainty in the markets, geo-political and economic instability, changes in regulatory agencies having oversight of our operations, and tensions in ex-U.S. relations. Further, it is possible that government policy changes and related uncertainty could increase market volatility. The extent, severity, and duration of the impact of these events and conditions on our business cannot be predicted and may not be fully reflected in our results of operations until future periods. If economic uncertainty continues or increases, or if the global economy worsens, our business, financial condition, and results of operations may be harmed. For further discussion of the potential impacts of macroeconomic events and conditions on our business, financial condition, and operating results, see the section titled “Risk Factors” included in this Quarterly Report.</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completed various acquisitions since inception. For details regarding acquisitions involving technologies that we are currently developing, see the section titled “Business—Key Intellectual Property Agreements” included in our 2025 Annual Report, and Note 4, Acquisitions to our condensed consolidated financial statements included elsewhere in this Quarterly Report. </w:t>
      </w:r>
    </w:p>
    <w:p>
      <w:pPr>
        <w:pStyle w:val="Heading2"/>
        <w:bidi w:val="0"/>
        <w:spacing w:before="360" w:after="283"/>
        <w:jc w:val="left"/>
        <w:rPr>
          <w:rFonts w:ascii="Times New Roman" w:hAnsi="Times New Roman"/>
          <w:sz w:val="20"/>
        </w:rPr>
      </w:pPr>
      <w:r>
        <w:rPr>
          <w:rFonts w:ascii="Times New Roman" w:hAnsi="Times New Roman"/>
          <w:i/>
          <w:color w:val="000000"/>
          <w:sz w:val="20"/>
        </w:rPr>
        <w:t>License and collaboration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entered into license and collaboration agreements with various third parties. For details regarding these agreements, see the section titled “Business— Key Intellectual Property Agreements” included in our 2025 Annual Report, and Note 5, License and collaboration agreements to our condensed consolidated financial statements included elsewhere in this Quarterly Report.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pPr>
      <w:r/>
    </w:p>
    <w:p>
      <w:pPr>
        <w:pStyle w:val="TextBody"/>
        <w:bidi w:val="0"/>
        <w:jc w:val="left"/>
      </w:pPr>
      <w:r>
        <w:t> </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Success payments and contingent consideration</w:t>
      </w:r>
    </w:p>
    <w:p>
      <w:pPr>
        <w:pStyle w:val="Heading2"/>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Cobalt success payment and contingent consideration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terms and conditions of the Cobalt acquisition agreement, which was amended in August 2026, we are obligated to pay to certain former Cobalt stockholders contingent consideration (Cobalt Contingent Consideration) of up to an aggregate of $500.0 million and a success payment (Cobalt Success Payment) of up to $500.0 million, each of which is payable in cash or stock. The August 2026 amendment restructured the Cobalt Contingent Consideration to (i) expand the Cobalt Contingent Consideration triggers to include both the achievement of specified development milestones and the Company’s receipt of payments from business development transactions involving the fusogen technology and (ii) reduce or defer the payment of certain milestone amounts until a change of control. The Cobalt Success Payment would become payable if our market capitalization equals or exceeds $8.1 billion, and we are advancing a product developed using the fusogen technology in a clinical trial pursuant to an IND, or are in the process of filing or have filed for, or received approval for, a biologics license application or new drug application for such product. The Cobalt Success Payment may alternatively become payable upon a change of control if at least one product developed using the fusogen technology is the subject of an active research program at the time of such change of control. If our market capitalization is below certain threshold amounts as of the date of such change of control, the amount of the Cobalt Success Payment will decrease, and the amount of potential Cobalt Contingent Consideration will increase, as described in Note 4, Acquisitions included elsewhere in this Quarterly Report. As of September 30, 2026, no Cobalt Contingent Consideration or Cobalt Success Payment had been triggered. See Part II, Item 7. Management’s Discussion and Analysis of Financial Condition and Results of Operations “—Critical accounting policies and significant judgments and estimates—Success payments” and “—Critical accounting policies and significant judgments and estimates—Contingent consideration” included in our 2025 Annual Report and Note 7, Fair value measurements located elsewhere in this Quarterly Report for more information on the accounting treatment of the Cobalt Success Payment and Cobalt Contingent Consideration.</w:t>
      </w:r>
    </w:p>
    <w:p>
      <w:pPr>
        <w:pStyle w:val="Heading2"/>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Harvard success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terms of the Harvard agreement, we may be required to make up to an aggregate of $175.0 million in success payments to Harvard (Harvard Success Payments), payable in cash, based on increases in the per share fair market value of our common stock. The potential Harvard Success Payments are based on multiples of increasing value ranging from 5x to 40x based on a comparison of the per share fair market value of our common stock relative to the original issuance price of $4.00 per share at ongoing pre-determined valuation measurement dates. The Harvard Success Payments can be achieved over a maximum of 12 years from the effective date of the agreement. If a higher success payment tier is met at the same time a lower tier is met, both tiers will be owed. Any previous Harvard Success Payments made are credited against the Harvard Success Payment owed as of any valuation measurement date so that Harvard does not receive multiple success payments in connection with the same threshold. As of September 30, 2026, a Harvard Success Payment had not been triggered.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 Note 5, License and collaboration agreements to our condensed consolidated financial statements included elsewhere in this Quarterly Report for details on the various per share common stock values that trigger a Harvard Success Payment. See Part II, Item 7. Management’s Discussion and Analysis of Financial Condition and Results of Operations “—Critical accounting policies and significant judgments and estimates—Success payments” included in our 2025 Annual Report for more information on the accounting treatment of the Harvard Success Payments.</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 xml:space="preserve">Components of operating results </w:t>
      </w:r>
    </w:p>
    <w:p>
      <w:pPr>
        <w:pStyle w:val="Heading2"/>
        <w:bidi w:val="0"/>
        <w:spacing w:before="120" w:after="283"/>
        <w:jc w:val="left"/>
        <w:rPr>
          <w:rFonts w:ascii="Times New Roman" w:hAnsi="Times New Roman"/>
          <w:sz w:val="20"/>
        </w:rPr>
      </w:pPr>
      <w:r>
        <w:rPr>
          <w:rFonts w:ascii="Times New Roman" w:hAnsi="Times New Roman"/>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research and development expenses have been related primarily to the discovery and development of our platform technologies and product candidates. Research and development expenses are recognized as incurred, and payments made prior to the receipt of goods or services to be used in research and development are recorded as prepaid expenses, until the goods or services are received.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Research and development expenses consist of personnel-related costs, including salaries, benefits, and non-cash stock-based compensation, external research and development expenses incurred under arrangements with third parties, including CDMO manufacturing costs (including pass-through costs) and clinical trial costs, costs for laboratory supplies, costs to acquire and license technologies aligned with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platforms, and facility expenses, including rent and depreciation, and allocated overhead costs. The timing and amount of costs to acquire and license technologies in the future cannot be reliably estimated and may fluctuate from quarter to quarter and year to year.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deploy our employee and infrastructure resources across multiple research and development programs for developing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platforms, identifying and developing product candidates, and establishing manufacturing capabilities. Due to our early stage of development, the number of ongoing projects, and our ability to use resources across several projects, most of our research and development costs are not recorded on a program-specific basis. These include costs for personnel, laboratory, and other indirect facility and operating costs.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Research and development activities account for a significant portion of our operating expenses. Excluding any one-time items, we expect our research and development expenses to be materially flat or slightly lower in 2026 compared to 2025. Research and development expenses may increase over the longer term due to a variety of factors, including if our future clinical trials are successful and if we expand our research and development efforts. Cost increases, if they occur, would be driven in large part by advancing our current and future product candidates into and through clinical trials; identifying additional product candidates; continuing to establish our manufacturing capabilities, including through CDMOs, initiating and advancing preclinical development of our current and future product candidates; advancing and expanding the capabilities of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platforms; acquiring and licensing technologies aligned with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platforms, or modifying the terms of existing acquisition or license arrangements; seeking regulatory approval of our current and future product candidates; and increasing our workforce to support our expanded research, clinical, and preclinical development efforts. A change in the outcome of any of these factors could result in a significant change in the costs and timing associated with the development of our product candidates. In addition, recent and potential future developments in international trade, including tariffs imposed on imports from other countries, could cause unanticipated increases in our research and development costs, primarily through increased CDMO costs and costs of our laboratory and manufacturing supplies, and we may not be able to accurately forecast their impacts on our business. </w:t>
      </w:r>
    </w:p>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 related success payments and contingent consideration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related success payments and contingent consideration include the change in the estimated fair value of our Cobalt and Harvard Success Payment liabilities and Cobalt Contingent Consideration liability. The expense or gain associated with our research and development related success payments and contingent consideration is unpredictable, in part, because our success payments are impacted by changes in our common stock price and market capitalization at the end of each reporting period, and continues to vary significantly from quarter to quarter and year to year due to changes in the assumptions used in the calculations. The August 2026 amendment to the Cobalt acquisition agreement modified the Cobalt Contingent Consideration, including the applicable payment triggers and the timing and amount of certain payments, which had a material impact on the fair value of the Cobalt Contingent Consideration during the third quarter of 2026. For details regarding the impact of the amendment to the Cobalt acquisition agreement, see Note 4, Acquisitions included elsewhere in this Quarterly Report.</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of personnel-related costs, including salaries, benefits, and non-cash stock-based compensation for our employees in finance, legal, executive, human resources, and information technology functions, legal and consulting fees, insurance fees, and facility costs not otherwise included in research and development expenses. Legal fees include those related to corporate, patent, and litigation matters.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Excluding any one-time items, we expect our general and administrative expenses to be materially flat in 2026 compared to 2025. General and administrative expenses may increase over the longer term to support potential expanded research and development activities.</w:t>
      </w:r>
    </w:p>
    <w:p>
      <w:pPr>
        <w:pStyle w:val="TextBody"/>
        <w:bidi w:val="0"/>
        <w:spacing w:before="360" w:after="283"/>
        <w:jc w:val="left"/>
        <w:rPr>
          <w:rFonts w:ascii="Times New Roman" w:hAnsi="Times New Roman"/>
          <w:sz w:val="20"/>
        </w:rPr>
      </w:pPr>
      <w:r>
        <w:rPr>
          <w:rFonts w:ascii="Times New Roman" w:hAnsi="Times New Roman"/>
          <w:i/>
          <w:color w:val="000000"/>
          <w:sz w:val="20"/>
        </w:rPr>
        <w:t>Impairment of long-lived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Impairment of long-lived assets recorded in the second quarter of 2025 consist of non-cash losses recognized for the impairment of the right-of-use (ROU) asset, construction in progress, and laboratory equipment for our manufacturing facility in Bothell, Washington, and the ROU asset, leasehold improvements, and laboratory equipment for certain office and laboratory space in Seattle, Washington. We also recognized additional non-cash impairment losses for other long-lived assets in the second quarter of 2025. The losses were recorded in operating expenses in the statement of operations. Refer to Note 11, Impairment of long-lived assets for further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pPr>
      <w:r/>
    </w:p>
    <w:p>
      <w:pPr>
        <w:pStyle w:val="TextBody"/>
        <w:bidi w:val="0"/>
        <w:jc w:val="left"/>
      </w:pPr>
      <w:r>
        <w:t> </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 xml:space="preserve">Results of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 of the three and nine months ended September 30, 2026 and 2025</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periods presented:</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2027"/>
        <w:gridCol w:w="146"/>
        <w:gridCol w:w="215"/>
        <w:gridCol w:w="751"/>
        <w:gridCol w:w="169"/>
        <w:gridCol w:w="149"/>
        <w:gridCol w:w="215"/>
        <w:gridCol w:w="751"/>
        <w:gridCol w:w="166"/>
        <w:gridCol w:w="146"/>
        <w:gridCol w:w="211"/>
        <w:gridCol w:w="736"/>
        <w:gridCol w:w="166"/>
        <w:gridCol w:w="146"/>
        <w:gridCol w:w="213"/>
        <w:gridCol w:w="744"/>
        <w:gridCol w:w="167"/>
        <w:gridCol w:w="147"/>
        <w:gridCol w:w="213"/>
        <w:gridCol w:w="851"/>
        <w:gridCol w:w="166"/>
        <w:gridCol w:w="146"/>
        <w:gridCol w:w="211"/>
        <w:gridCol w:w="736"/>
        <w:gridCol w:w="617"/>
      </w:tblGrid>
      <w:tr>
        <w:tc>
          <w:tcPr>
            <w:tcW w:w="20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c>
          <w:tcPr>
            <w:tcW w:w="20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0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0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15"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66"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66"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0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33,930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93,378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(3,678</w:t>
            </w:r>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20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related success payments and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(63,379</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(46,376</w:t>
            </w:r>
          </w:p>
        </w:tc>
        <w:tc>
          <w:tcPr>
            <w:tcW w:w="6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20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33,183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0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long-lived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(44,611</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202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95,528</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(93,592</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18,506</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(95,528</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93,592</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20,401</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(90,444</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94,897</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Heading2"/>
        <w:bidi w:val="0"/>
        <w:spacing w:before="360" w:after="283"/>
        <w:jc w:val="left"/>
        <w:rPr>
          <w:rFonts w:ascii="Times New Roman" w:hAnsi="Times New Roman"/>
          <w:sz w:val="20"/>
        </w:rPr>
      </w:pPr>
      <w:r>
        <w:rPr>
          <w:rFonts w:ascii="Times New Roman" w:hAnsi="Times New Roman"/>
          <w:b w:val="false"/>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components of our research and development expenses for the periods presented:</w:t>
      </w:r>
    </w:p>
    <w:p>
      <w:pPr>
        <w:pStyle w:val="TextBody"/>
        <w:bidi w:val="0"/>
        <w:spacing w:before="120" w:after="283"/>
        <w:jc w:val="left"/>
      </w:pPr>
      <w:r>
        <w:t> </w:t>
      </w:r>
    </w:p>
    <w:tbl>
      <w:tblPr>
        <w:tblW w:w="7514" w:type="dxa"/>
        <w:jc w:val="left"/>
        <w:tblInd w:w="0" w:type="dxa"/>
        <w:tblLayout w:type="fixed"/>
        <w:tblCellMar>
          <w:top w:w="28" w:type="dxa"/>
          <w:left w:w="28" w:type="dxa"/>
          <w:bottom w:w="28" w:type="dxa"/>
          <w:right w:w="28" w:type="dxa"/>
        </w:tblCellMar>
      </w:tblPr>
      <w:tblGrid>
        <w:gridCol w:w="3421"/>
        <w:gridCol w:w="146"/>
        <w:gridCol w:w="274"/>
        <w:gridCol w:w="878"/>
        <w:gridCol w:w="189"/>
        <w:gridCol w:w="189"/>
        <w:gridCol w:w="274"/>
        <w:gridCol w:w="878"/>
        <w:gridCol w:w="146"/>
        <w:gridCol w:w="146"/>
        <w:gridCol w:w="211"/>
        <w:gridCol w:w="571"/>
        <w:gridCol w:w="191"/>
      </w:tblGrid>
      <w:t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34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4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4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56"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Third-party manufacturing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3,469</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development, and laboratory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and other allocated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11,304</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33,930</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were $33.9 million and $30.1 million for the three months ended September 30, 2026 and 2025, respectively. The increase of $3.8 million was primarily due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net $2.0 million increase in third-party manufacturing costs at CDMOs reflecting increased costs related to our SC451 and SG293 programs, partially offset by costs associated with the suspended allogeneic CAR T programs incurred in the three months ended September 30, 2025 that did not recur in 2026;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$1.9 million increase in laboratory costs related to our SC451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increase was partially offset by a net $0.5 million decrease in clinical development costs reflecting costs associated with the suspended allogeneic CAR T programs incurred in the three months ended September 30, 2025 that did not recur in 2026, partially offset by increased costs related to our SC451 and SG293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components of our research and development expenses for the periods presented:</w:t>
      </w:r>
    </w:p>
    <w:p>
      <w:pPr>
        <w:pStyle w:val="TextBody"/>
        <w:bidi w:val="0"/>
        <w:jc w:val="left"/>
      </w:pPr>
      <w:r>
        <w:t> </w:t>
      </w:r>
    </w:p>
    <w:tbl>
      <w:tblPr>
        <w:tblW w:w="7506" w:type="dxa"/>
        <w:jc w:val="left"/>
        <w:tblInd w:w="0" w:type="dxa"/>
        <w:tblLayout w:type="fixed"/>
        <w:tblCellMar>
          <w:top w:w="28" w:type="dxa"/>
          <w:left w:w="28" w:type="dxa"/>
          <w:bottom w:w="28" w:type="dxa"/>
          <w:right w:w="28" w:type="dxa"/>
        </w:tblCellMar>
      </w:tblPr>
      <w:tblGrid>
        <w:gridCol w:w="3421"/>
        <w:gridCol w:w="146"/>
        <w:gridCol w:w="265"/>
        <w:gridCol w:w="849"/>
        <w:gridCol w:w="183"/>
        <w:gridCol w:w="183"/>
        <w:gridCol w:w="265"/>
        <w:gridCol w:w="849"/>
        <w:gridCol w:w="146"/>
        <w:gridCol w:w="146"/>
        <w:gridCol w:w="211"/>
        <w:gridCol w:w="631"/>
        <w:gridCol w:w="211"/>
      </w:tblGrid>
      <w:t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34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4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4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2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36,003</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and other allocated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development, and laboratory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15,595</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Third-party 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93,378</w:t>
            </w:r>
          </w:p>
        </w:tc>
        <w:tc>
          <w:tcPr>
            <w:tcW w:w="18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97,056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(3,678</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were $93.4 million and $97.1 million for the nine months ended September 30, 2026 and 2025, respectively. The decrease of $3.7 million was primarily due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$6.8 million decrease in personnel-related expenses, including non-cash stock-based compensation, primarily due to lower average research and development headcount;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$3.0 million decrease in facility and other allocated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decrease was partially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$4.7 million increase in laboratory costs related to our SC451 program;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net $1.2 million increase in third-party manufacturing costs at CDMOs reflecting increased costs related to our SC451 and SG293 programs, partially offset by costs associated with the suspended allogeneic CAR T programs incurred in the nine months ended September 30, 2025 that did not recur in 2026.</w:t>
      </w:r>
    </w:p>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 related success payments and contingent consideration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expenses (gains) associated with research and development related success payments and contingent consideration for the periods presented:</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6022"/>
        <w:gridCol w:w="146"/>
        <w:gridCol w:w="257"/>
        <w:gridCol w:w="899"/>
        <w:gridCol w:w="202"/>
        <w:gridCol w:w="178"/>
        <w:gridCol w:w="257"/>
        <w:gridCol w:w="771"/>
        <w:gridCol w:w="166"/>
        <w:gridCol w:w="146"/>
        <w:gridCol w:w="211"/>
        <w:gridCol w:w="736"/>
        <w:gridCol w:w="214"/>
      </w:tblGrid>
      <w:tr>
        <w:tc>
          <w:tcPr>
            <w:tcW w:w="60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c>
          <w:tcPr>
            <w:tcW w:w="60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0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0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823"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6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Cobalt success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(7,629</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Harvard success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(55,468</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(53,477</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related success payments and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(63,379</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(66,503</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gain related to the change in the estimated fair value of our Cobalt Success Payment was $7.6 million for the three months ended September 30, 2026, compared to an expense of $4.8 million for the same period in 2025. The changes in value were primarily due to changes in our market capitalization during the relevant periods. The gain related to the change in the estimated fair value of our Harvard Success Payments was $0.3 million for the three months ended September 30, 2026, compared to an expense of $0.3 million for the same period in 2025. The changes in value were primarily due to changes in our common stock price during the relevant periods. The gain related to the change in the estimated fair value of our Cobalt Contingent Consideration was $55.5 million for the three months ended September 30, 2026, compared to $2.0 million for the same period in 2025. The change in value for the three months ended September 30, 2026 was primarily due to the impact of the August 2026 amendment to our Cobalt acquisition agreement, which modified the Cobalt Contingent Consideration, including the applicable payment triggers and timing and amount of certain payments. The change in value for the three months ended September 30, 2025 was primarily due to changes in the timing and probability of the achievement of milestones.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expenses (gains) associated with research and development related success payments and contingent consideration for the periods presented:</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6099"/>
        <w:gridCol w:w="146"/>
        <w:gridCol w:w="246"/>
        <w:gridCol w:w="861"/>
        <w:gridCol w:w="193"/>
        <w:gridCol w:w="170"/>
        <w:gridCol w:w="246"/>
        <w:gridCol w:w="790"/>
        <w:gridCol w:w="146"/>
        <w:gridCol w:w="146"/>
        <w:gridCol w:w="211"/>
        <w:gridCol w:w="736"/>
        <w:gridCol w:w="215"/>
      </w:tblGrid>
      <w:tr>
        <w:tc>
          <w:tcPr>
            <w:tcW w:w="60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c>
          <w:tcPr>
            <w:tcW w:w="60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0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0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4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60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Cobalt success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0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Harvard success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0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(28,361</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(34,534</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0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related success payments and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(31,033</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(46,376</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gain related to the change in the estimated fair value of our Cobalt Success Payment was $2.3 million for the nine months ended September 30, 2026, compared to an expense of $8.5 million for the same period in 2025. The changes in value were primarily due to changes in our market capitalization during the relevant periods. The gain related to the change in the estimated fair value of our Harvard Success Payments was $0.4 million for the nine months ended September 30, 2026, compared to an expense of $0.7 million for the same period in 2025. The changes in value were primarily due to changes in our common stock price during the relevant periods. The gain related to the change in the estimated fair value of our Cobalt Contingent Consideration was $28.4 million for the nine months ended September 30, 2026, compared to an expense of $6.2 million for the same period in 2025. The change in value for the nine months ended September 30, 2026 was primarily due to the impact of the August 2026 amendment to our Cobalt acquisition agreement, which modified the Cobalt Contingent Consideration, including the applicable payment triggers and timing and amount of certain payments. The change in value for the nine months ended September 30, 2025 was primarily due to changes in the timing and probability of the achievement of milestones.</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were $10.9 million and $33.2 million for the three and nine months ended September 30, 2026, respectively, compared to $10.3 million and $32.1 million for the same periods in 2025,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increases for each of the three and nine months ended September 30, 2026 and 2025 were primarily due to increases in facility costs.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Impairment of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Impairment of long-lived assets was $44.6 million for the nine months ended September 30, 2025. There was no impairment of long-lived assets for the three and nine months ended September 30, 2026. See Note 11, Impairment of long-lived assets to our condensed consolidated financial statements included elsewhere in this Quarterly Report for additional information.</w:t>
      </w:r>
    </w:p>
    <w:p>
      <w:pPr>
        <w:pStyle w:val="TextBody"/>
        <w:bidi w:val="0"/>
        <w:spacing w:before="360" w:after="283"/>
        <w:jc w:val="left"/>
        <w:rPr>
          <w:rFonts w:ascii="Times New Roman" w:hAnsi="Times New Roman"/>
          <w:sz w:val="20"/>
        </w:rPr>
      </w:pPr>
      <w:r>
        <w:rPr>
          <w:rFonts w:ascii="Times New Roman" w:hAnsi="Times New Roman"/>
          <w:i/>
          <w:color w:val="000000"/>
          <w:sz w:val="20"/>
        </w:rPr>
        <w:t>Interest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net, was $1.2 million and $3.3 million for the three and nine months ended September 30, 2026, respectively, compared to $1.0 million and $2.6 million for the same periods in 2025, respectively, and consisted primarily of interest earned on our cash and marketable securities balances.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pPr>
      <w:r/>
    </w:p>
    <w:p>
      <w:pPr>
        <w:pStyle w:val="TextBody"/>
        <w:bidi w:val="0"/>
        <w:jc w:val="left"/>
      </w:pPr>
      <w:r>
        <w:t> </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 xml:space="preserve">Liquidity, capital resources, and capital requirements </w:t>
      </w:r>
    </w:p>
    <w:p>
      <w:pPr>
        <w:pStyle w:val="Heading2"/>
        <w:bidi w:val="0"/>
        <w:spacing w:before="120" w:after="283"/>
        <w:jc w:val="left"/>
        <w:rPr>
          <w:rFonts w:ascii="Times New Roman" w:hAnsi="Times New Roman"/>
          <w:sz w:val="20"/>
        </w:rPr>
      </w:pPr>
      <w:r>
        <w:rPr>
          <w:rFonts w:ascii="Times New Roman" w:hAnsi="Times New Roman"/>
          <w:i/>
          <w:color w:val="000000"/>
          <w:sz w:val="20"/>
        </w:rPr>
        <w:t>Sources of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2026, we had $121.7 million in cash, cash equivalents, and marketable securities. Since inception through September 30, 2026, we have raised an aggregate of approximately $1.8 billion in net proceeds from sales of our equity securities.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In April 2026, we entered into the SPA with Mayo Clinic pursuant to which Mayo Clinic purchased the Shares at a price of $3.33 per share for gross proceeds of approximately $25.0 million. Pursuant to the SPA, we agreed to use the net proceeds from the sale of the Shares for the development of products upon which an affiliate of Mayo Clinic has the right to receive royalties pursuant to the License Agreement, including SC451 and certain genetically modified stem-cell derived islet cell products, as set forth in the License Agreement.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 March 2026, we entered into the Sales Agreement with TD Cowen, acting as sales agent, and filed a prospectus supplement with the SEC, pursuant to which we may offer and sell up to $150.0 million of shares of our common stock from time to time under the ATM facility. During the quarter ended September 30, 2026, we did not sell any shares of common stock under the Sales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2025, we completed the Offering pursuant to which we sold 24.3 million shares of our common stock, including 3.4 million shares pursuant to the full exercise of the underwriters' option to purchase additional shares, and pre-funded warrants to purchase 1.5 million shares of our common stock for net proceeds of approximately $80.6 million, after deducting underwriting discounts and commissions and offering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our inception, we have not generated any revenue from product sales or any other sources, and we have incurred significant operating losses. We have not yet commercialized any products, and we do not expect to generate revenue from sales of any product candidates for a number of years, if ever. </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Future 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incur additional losses for the foreseeable future as we conduct our research and development efforts, including conducting preclinical studies and clinical trials, developing new product candidates, continuing to establish our external manufacturing capabilities, and funding our operations generally. We are subject to the risks typically related to the development of new products, and we may encounter unforeseen expenses, difficulties, complications, delays, and other unknown factors that may adversely affect our business.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Management has determined that our present capital resources may not be sufficient to fund our planned operations for at least one year from the date of this Quarterly Report, and there is substantial doubt as to our ability to continue as a going concern. Our ability to continue as a going concern will depend on, among other things, our ability to obtain additional funding and appropriately manage the amount of cash used to fund our operations. We plan to address this condition through equity or debt offerings or capital obtained in connection with strategic collaborations or licensing or other arrangements. If we are unable to obtain such financing, we may be required to pursue alternative sources of capital which may not be available to us on favorable terms, if at all, or significantly modify our operational plans by delaying, reducing the scope of, or ceasing some or all of our research and development programs, or pursue strategic alternatives.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capital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timing, progress, costs, and results of discovery, preclinical development, and clinical trials for our current or future product candidates, including the development of companion diagnostics to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scope of clinical trials required for regulatory approval of our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timing, and outcome of regulatory review of our current or future product candidates and any companion diagnostics to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timing, and scope of our manufacturing capabilities and our uses of our existing facilities, as well as costs associated with the manufacturing of clinical and commercial supplies of our current and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future commercialization activities, including manufacturing, marketing, sales, and distribution, for any of our product candidates for which we receive marketing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existing, and establish new, strategic collaborations, licensing, or other arrangements, and the financial terms of any such agreements, including the timing and amount of any future milestone, royalty, or other payments due under any such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revenue, if any, received from commercial sales of our product candidates for which we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expenses required to attract, hire, and retain skilled personnel;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impact of global supply chain issues and changing rates of inflation on the costs of laboratory consumables, supplies, and equipment required for our ongoing operations;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costs of operating as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effectively manage the amount of cash used in our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 commercially viable pricing structure and obtain approval for coverage and adequate reimbursement from third-party, including government,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interruptions or delays resulting from global geo-political, economic, and other factors beyond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 of competing technological and market developments;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acquire or invest in businesses, products, and technologies.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Until such time, if ever, as we can generate significant revenue from product sales, we expect to finance our operations with our existing cash, cash equivalents, and marketable securities, proceeds from any future equity or debt financings, and milestone, royalty, and other payments received under any future licenses, collaborations, or other arrangements. In the event that additional financing is required, we may not be able to raise it on terms that are acceptable to us or at all. Our ability to raise additional financing may be adversely impacted by potential worsening global economic conditions and the recent disruptions to, and volatility in, the credit and financial markets in the United States and worldwide resulting from public health crises, the conflicts in Ukraine and the Middle East, or other regions, changes in inflation, interest rate uncertainty, disruptions in global trade caused by political tensions and conflicts between countries, and other factors creating market risk. Bank failures have also caused increased concerns about liquidity in the broader financial services industry, and our business, business partners, or industry as a whole may be adversely impacted in ways that we cannot predict at this time. If we raise additional funds through the issuance of equity or convertible debt securities, existing stockholders’ ownership interests will be diluted, and the terms of these securities may include liquidation or other preferences that adversely affect the rights of our stockholders. Debt financing, if available, may result in increased fixed payment obligations, and the existence of securities with rights that may be senior to those of our common stock, and involve agreements that include covenants limiting or restricting our ability to take specific actions, such as incurring additional debt, making capital expenditures, declaring dividends, or acquiring, selling, or licensing intellectual property rights or assets, which could adversely impact our ability to conduct our business. If we raise funds through strategic collaborations or licensing or other arrangements, we may have to relinquish significant rights or grant licenses on terms that are not favorable to us. If we are unable to raise additional capital when desired, our business, results of operations, and financial condition would be adversely affected. </w:t>
      </w:r>
    </w:p>
    <w:p>
      <w:pPr>
        <w:pStyle w:val="Heading2"/>
        <w:bidi w:val="0"/>
        <w:spacing w:before="360" w:after="283"/>
        <w:jc w:val="left"/>
        <w:rPr>
          <w:rFonts w:ascii="Times New Roman" w:hAnsi="Times New Roman"/>
          <w:sz w:val="20"/>
        </w:rPr>
      </w:pPr>
      <w:r>
        <w:rPr>
          <w:rFonts w:ascii="Times New Roman" w:hAnsi="Times New Roman"/>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cash flows for the periods indicated:</w:t>
      </w:r>
    </w:p>
    <w:p>
      <w:pPr>
        <w:pStyle w:val="TextBody"/>
        <w:bidi w:val="0"/>
        <w:jc w:val="left"/>
      </w:pPr>
      <w:r>
        <w:t> </w:t>
      </w:r>
    </w:p>
    <w:tbl>
      <w:tblPr>
        <w:tblW w:w="8135" w:type="dxa"/>
        <w:jc w:val="left"/>
        <w:tblInd w:w="0" w:type="dxa"/>
        <w:tblLayout w:type="fixed"/>
        <w:tblCellMar>
          <w:top w:w="28" w:type="dxa"/>
          <w:left w:w="28" w:type="dxa"/>
          <w:bottom w:w="28" w:type="dxa"/>
          <w:right w:w="28" w:type="dxa"/>
        </w:tblCellMar>
      </w:tblPr>
      <w:tblGrid>
        <w:gridCol w:w="4986"/>
        <w:gridCol w:w="146"/>
        <w:gridCol w:w="226"/>
        <w:gridCol w:w="903"/>
        <w:gridCol w:w="178"/>
        <w:gridCol w:w="156"/>
        <w:gridCol w:w="226"/>
        <w:gridCol w:w="903"/>
        <w:gridCol w:w="411"/>
      </w:tblGrid>
      <w:tr>
        <w:tc>
          <w:tcPr>
            <w:tcW w:w="4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c>
          <w:tcPr>
            <w:tcW w:w="49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9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9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4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(108,921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(111,187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4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(15,733</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4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93,454</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111,083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4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(31,200</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nine months ended September 30, 2026, net cash used in operating activities was $108.9 million, consisting primarily of net loss of $90.4 million, the change in net operating assets and liabilities of $11.6 million, and non-cash adjustments of $6.9 million. The non-cash adjustments of $6.9 million consisted of gains of $28.4 million and $2.7 million for revaluation of our contingent consideration and success payment liabilities, respectively, partially offset by $16.3 million of non-cash stock-based compensation, depreciation expense of $7.6 million, and other non-cash adjustments of $0.3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nine months ended September 30, 2025, net cash used in operating activities was $111.2 million, consisting primarily of net loss of $185.3 million and the change in net operating assets and liabilities of $13.6 million, offset by non-cash adjustments of $87.7 million. The non-cash adjustments of $87.7 million consisted of $44.6 million for impairment of long-lived assets, $19.1 million of non-cash stock-based compensation, expenses of $9.2 million and $6.2 million for the revaluation of our success payment and contingent consideration liabilities, respectively, and depreciation expense of $9.7 million, partially offset by other non-cash adjustments of $1.1 million. </w:t>
      </w:r>
    </w:p>
    <w:p>
      <w:pPr>
        <w:pStyle w:val="TextBody"/>
        <w:bidi w:val="0"/>
        <w:spacing w:before="36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used in investing activities was $15.7 million during the nine months ended September 30, 2026, compared to $23.7 million during the nine months ended September 30, 2025. For the nine months ended September 30, 2026, this consisted primarily of net purchases and maturities of marketable securities of $13.3 million and net purchases of property and equipment of $2.4 million. For the nine months ended September 30, 2025, this consisted of net purchases and maturities of marketable securities of $24.4 million and net sales of property and equipment of $0.7 million. </w:t>
      </w:r>
    </w:p>
    <w:p>
      <w:pPr>
        <w:pStyle w:val="TextBody"/>
        <w:bidi w:val="0"/>
        <w:spacing w:before="36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nine months ended September 30, 2026 and 2025, cash provided by financing activities was $93.5 million and $111.1 million, respectively, and consisted primarily of net proceeds from issuance of common stock. </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 xml:space="preserve">Contractual obligations and commitments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significant contractual obligations and commitments as of September 30, 2026:</w:t>
      </w:r>
    </w:p>
    <w:p>
      <w:pPr>
        <w:pStyle w:val="TextBody"/>
        <w:bidi w:val="0"/>
        <w:jc w:val="left"/>
      </w:pPr>
      <w:r>
        <w:t> </w:t>
      </w:r>
    </w:p>
    <w:tbl>
      <w:tblPr>
        <w:tblW w:w="9518" w:type="dxa"/>
        <w:jc w:val="left"/>
        <w:tblInd w:w="0" w:type="dxa"/>
        <w:tblLayout w:type="fixed"/>
        <w:tblCellMar>
          <w:top w:w="28" w:type="dxa"/>
          <w:left w:w="28" w:type="dxa"/>
          <w:bottom w:w="28" w:type="dxa"/>
          <w:right w:w="28" w:type="dxa"/>
        </w:tblCellMar>
      </w:tblPr>
      <w:tblGrid>
        <w:gridCol w:w="2356"/>
        <w:gridCol w:w="146"/>
        <w:gridCol w:w="314"/>
        <w:gridCol w:w="1006"/>
        <w:gridCol w:w="146"/>
        <w:gridCol w:w="146"/>
        <w:gridCol w:w="235"/>
        <w:gridCol w:w="755"/>
        <w:gridCol w:w="146"/>
        <w:gridCol w:w="146"/>
        <w:gridCol w:w="235"/>
        <w:gridCol w:w="755"/>
        <w:gridCol w:w="146"/>
        <w:gridCol w:w="146"/>
        <w:gridCol w:w="349"/>
        <w:gridCol w:w="1121"/>
        <w:gridCol w:w="146"/>
        <w:gridCol w:w="146"/>
        <w:gridCol w:w="211"/>
        <w:gridCol w:w="676"/>
        <w:gridCol w:w="191"/>
      </w:tblGrid>
      <w:t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23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25"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3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to 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 to 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 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3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25"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than as disclosed in the table above, the payment obligations under our license, collaboration, and acquisition agreements as of September 30, 2026 are contingent upon future events such as the occurrence of specified development, regulatory, and commercial milestones, payments to us related to business development transactions involving the fusogen technology, and royalties on net product sales. See the section titled “Business—Key Intellectual Property Agreements” in Part I, Item 1 included in our 2025 Annual Report and Note 4, Acquisitions included elsewhere in this Quarterly Report for more information about these payment obligations. As of September 30, 2026, the timing and likelihood of the occurrence of such future events are uncertain, and therefore any related potential payments are not included in the table above.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obligated to make a success payment to Cobalt of up to $500.0 million, payable in cash or stock, pursuant to the terms and conditions in the Cobalt acquisition agreement, and up to an aggregate of $175.0 million in success payments to Harvard, payable in cash. See Part II, Item 7. Management’s Discussion and Analysis of Financial Condition and Results of Operations “—Critical accounting policies and significant judgments and estimates—Success payments” included in our 2025 Annual Report and Note 4, Acquisitions and Note 5, License and collaboration agreements to our condensed consolidated financial statements included elsewhere in this Quarterly Report for more information on the success payments. As of September 30, 2026, the timing and likelihood of achieving the success payments are uncertain, and therefore any related potential payments are not included in the table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enter into agreements in the normal course of business for sponsored research, preclinical studies, clinical trials, contract manufacturing, and other services and products for operating purposes, which are generally cancelable upon written notice. These obligations and commitments are not included in the table above.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pPr>
      <w:r/>
    </w:p>
    <w:p>
      <w:pPr>
        <w:pStyle w:val="TextBody"/>
        <w:bidi w:val="0"/>
        <w:jc w:val="left"/>
      </w:pPr>
      <w:r>
        <w:t> </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 xml:space="preserve">Off-balance sheet arrangements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not engaged in any off-balance sheet arrangements as defined under the rules and regulations of the SEC. </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 xml:space="preserve">JOBS Act accounting election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the Jumpstart Our Business Startups Act of 2012 (the JOBS Act). We will remain an emerging growth company until the earliest to occur of (1) December 31, 2026, (2) the last day of the fiscal year in which we have total annual gross revenue of at least $1.235 billion, (3) the last day of the fiscal year in which we are deemed to be a “large accelerated filer” as defined in Rule 12b-2 under the Exchange Act, which would occur if the fair market value of our common stock held by non-affiliates exceeded $700.0 million as of the last business day of the second fiscal quarter of such year, or (4) the date on which we have issued more than $1.0 billion in non-convertible debt securities during the prior three-year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so long as we remain an emerging growth company, we are permitted and intend to rely on certain exemptions from various public company reporting requirements, including not being required to have our independent registered public accounting firm provide an attestation report on our internal control over financial reporting pursuant to Section 404 of the Sarbanes-Oxley Act, reduced disclosure obligations regarding executive compensation in our periodic reports and proxy statements, and exemptions from the requirements of holding a nonbinding advisory vote on executive compensation and any golden parachute payments not previously approved.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under the JOBS Act, emerging growth companies can delay adopting new or revised accounting standards issued after the enactment of the JOBS Act until such time as those standards apply to private companies. We have elected to use the extended transition period for any new or revised accounting standards during the period in which we remain an emerging growth company; however, we may adopt certain new or revised accounting standards early if the standard allows early adoption. </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Critical accounting policies and significant judgments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condensed consolidated financial statements are prepared in accordance with generally accepted accounting principles in the United States. The preparation of these financial statements requires us to make estimates and assumptions that affect the amounts reported in the condensed consolidated financial statements and accompanying notes.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Our significant accounting policies are described in more detail in the notes to our condensed consolidated financial statements as of September 30, 2026 and for the three and nine months ended September 30, 2026 and 2025, and are consistent with those discussed in Part II, Item 7. Management’s Discussion and Analysis of Financial Condition and Results of Operations “—Critical accounting policies and significant judgments and estimates” included in our 2025 Annual Report.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b/>
          <w:color w:val="000000"/>
          <w:sz w:val="20"/>
        </w:rPr>
      </w:pPr>
      <w:bookmarkStart w:id="11" w:name="item_3_quantitative_qualitative_disclosu"/>
      <w:bookmarkEnd w:id="11"/>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market risks in the ordinary course of our business, primarily related to interest rate sensitivities and the volatility of our common stock price.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2026, we had cash, cash equivalents, and restricted cash of $44.9 million, which consisted of bank deposits and money market funds, and also had marketable securities of $80.6 million. The primary objective of our investment activities is to preserve capital to fund our operations while earning a low-risk return. Because our marketable securities are short-term in duration, we believe that our exposure to interest rate risk is not significant, and a hypothetical 10% change in market interest rates during any of the periods presented would not have had a significant impact on the total value of our portfolio. As of September 30, 2026, we had no debt outstanding that is subject to interest rate variability.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Market capitalization and common stock price sensitivity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agreed to make a success payment to Cobalt based on our market capitalization, payable in cash or stock, and success payments to Harvard based on increases in the per share fair market value of our common stock, payable in cash.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2026, the estimated aggregate fair value of the success payment liabilities was $16.6 million. For the three and nine months ended September 30, 2026, we recorded gains of $7.9 million and $2.7 million, respectively, related to the aggregate change in the estimated fair value of our success payment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our market capitalization and the fair value of our common stock as of each balance sheet date may have a relatively large change in the estimated valuation of the success payment liabilities and resulting expense or gain. For example, for the Cobalt Success Payment, keeping all other variables constant, a hypothetical 20% increase in our market capitalization as of September 30, 2026 from $0.9 billion to $1.0 billion would have decreased the gain recorded in the three months ended September 30, 2026 by $3.9 million to $3.7 million. A hypothetical 20% decrease in our market capitalization from $0.9 billion to $0.7 billion would have increased the gain recorded in the three months ended September 30, 2026 by $3.6 million to $11.2 million. For the Harvard Success Payments, keeping all other variables constant, a hypothetical 20% increase in our common stock price as of September 30, 2026 from $2.92 per share to $3.50 per share would have decreased the gain recorded in the three months ended September 30, 2026 by $0.4 million to an expense of $0.1 million. A hypothetical 20% decrease in the common stock price from $2.92 per share to $2.33 per share would have increased the gain recorded in the three months ended September 30, 2026 by $0.3 million to $0.6 million.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Foreign currency sensitivity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currently exposed to significant market risk related to changes in foreign currency exchange rates; however, we do contract with vendors that are located outside of the United States and may be subject to fluctuations in foreign currency rates. We do not believe we will experience material impacts from such foreign currency sensitivity. We may enter into additional contracts with vendors located outside of the United States in the future, which may increase our foreign currency exchange risk.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Effects of inflation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Inflation generally affects us by increasing our cost of labor and laboratory consumables. We believe that inflation has not had a material effect on our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bookmarkStart w:id="12" w:name="item_4_controls_procedures"/>
      <w:bookmarkEnd w:id="12"/>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principal executive officer and principal financial officer, has evaluated our disclosure controls and procedures (as defined in Rules 13a-15(e) and 15d-15(e) of the Exchange Act) as of the end of the period covered by this Quarterly Report.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to allow timely decisions regarding required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controls and procedures, no matter how well-designed and operated, can provide only reasonable assurance of achieving the desired control objective and management necessarily applies its judgment in evaluating the cost-benefit relationship of possible controls and procedures. Based on this evaluation, our principal executive officer and principal financial officer concluded that, as of the end of the period covered by this Quarterly Report, the design and operation of our disclosure controls and procedures were effective at a reasonable assurance level.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has been no change in our internal control over financial reporting during the quarter ended September 30, 2026 that has materially affected, or is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b/>
          <w:caps/>
          <w:color w:val="000000"/>
          <w:sz w:val="20"/>
          <w:u w:val="single"/>
        </w:rPr>
      </w:pPr>
      <w:bookmarkStart w:id="13" w:name="part_ii_or_information"/>
      <w:bookmarkEnd w:id="13"/>
      <w:r>
        <w:rPr>
          <w:rFonts w:ascii="Times New Roman" w:hAnsi="Times New Roman"/>
          <w:b/>
          <w:caps/>
          <w:color w:val="000000"/>
          <w:sz w:val="20"/>
          <w:u w:val="single"/>
        </w:rPr>
        <w:t>PART II. OTHER INFORMATION</w:t>
      </w:r>
    </w:p>
    <w:p>
      <w:pPr>
        <w:pStyle w:val="TextBody"/>
        <w:bidi w:val="0"/>
        <w:spacing w:before="120" w:after="283"/>
        <w:jc w:val="left"/>
        <w:rPr>
          <w:rFonts w:ascii="Times New Roman" w:hAnsi="Times New Roman"/>
          <w:sz w:val="20"/>
        </w:rPr>
      </w:pPr>
      <w:bookmarkStart w:id="14" w:name="item_1_legal_proceedings"/>
      <w:bookmarkEnd w:id="14"/>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in the ordinary course of business face various claims brought by third parties, including claims relating to employment matters and the safety and efficacy of our products, and we may, from time to time, make claims or take legal action to assert our rights, including action relating to our intellectual property rights. Any of these claims could subject us to costly litigation. Although we generally believe that we have adequate insurance to cover many different types of liabilities from third-party claims,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operations, cash flows, or financial position. Additionally, any such claims, whether or not successful, could damage our reputation and business.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March 21, 2025, a purported stockholder filed a putative class action complaint in the United States District Court for the Western District of Washington against the company and its current and former executives, Steven D. Harr, M.D., and Nathan Hardy, now captioned </w:t>
      </w:r>
      <w:r>
        <w:rPr>
          <w:rFonts w:ascii="Times New Roman" w:hAnsi="Times New Roman"/>
          <w:i/>
          <w:color w:val="000000"/>
          <w:sz w:val="20"/>
        </w:rPr>
        <w:t>In re Sana Biotechnology, Inc., Securities Litigation</w:t>
      </w:r>
      <w:r>
        <w:rPr>
          <w:rFonts w:ascii="Times New Roman" w:hAnsi="Times New Roman"/>
          <w:color w:val="000000"/>
          <w:sz w:val="20"/>
        </w:rPr>
        <w:t>, No. 2:25-cv-00512-BJR, alleging that the defendants made false and misleading statements concerning the company's business, operations, and prospects (the Action). On June 2, 2025, the court appointed Shane Honey and Jonatan Koskinen as co-lead plaintiffs (Lead Plaintiffs) and their respective choices of lead counsel as co-lead counsel in the Action. On August 15, 2025, the Lead Plaintiffs filed an amended complaint to serve as the operative complaint in the Action (the Complaint), which asserts claims against all defendants pursuant to Section 10(b) of the Exchange Act and Rule 10b-5 promulgated thereunder, as well as claims against the individual defendants pursuant to Section 20(a) of the Exchange Act. The Complaint alleges, among other things, that the defendants made false and misleading public statements and omissions regarding the development of SC291, which was our HIP-modified CD19-directed allogeneic CAR T cell product candidate, for the treatment of B-cell cancers, as well as our finances, operations, and business prospects. The Complaint purports to assert class action claims on behalf of all persons and entities that purchased or otherwise acquired our securities between January 9, 2024 and November 4, 2024 and seeks unspecified damages. On October 14, 2025, the defendants filed a motion to dismiss the Complaint (Original Motion to Dismiss). On December 15, 2025, the Lead Plaintiffs filed their opposition to the Original Motion to Dismiss, and on January 29, 2026, the defendants filed their reply in support of the Original Motion to Dismiss. In addition, on December 29, 2025, the Lead Plaintiffs filed a motion for leave to amend the Complaint (Motion to Amend). On January 20, 2026, the defendants filed their opposition to the Motion to Amend, and on February 3, 2026, the Lead Plaintiffs filed their reply in support of the Motion to Amend. On May 21, 2026, the Court granted the Motion to Amend and dismissed the Original Motion to Dismiss as moot, and on May 26, 2026, the Lead Plaintiffs filed a second amended complaint (SAC). On May 27, 2026, the parties submitted a stipulated motion and request to stay the proceeding for a period of 90 days, which the Court granted on May 28, 2026. On August 26, 2026, the Lead Plaintiffs filed a corrected SAC, and on September 8, 2026, the defendants filed a motion to dismiss the SAC (Motion to Dismiss). On September 9, 2026, the parties submitted a joint status report. On October 30, 2026, the Lead Plaintiffs filed their opposition to the Motion to Dismiss. The defendants are required to file their reply in support of the Motion to Dismiss by November 13, 2026. The defendants intend to vigorously defend themselves in the Action. However, there can be no assurances as to the outcome.</w:t>
      </w:r>
    </w:p>
    <w:p>
      <w:pPr>
        <w:pStyle w:val="TextBody"/>
        <w:bidi w:val="0"/>
        <w:spacing w:before="36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120" w:after="283"/>
        <w:jc w:val="left"/>
        <w:rPr>
          <w:rFonts w:ascii="Times New Roman" w:hAnsi="Times New Roman"/>
          <w:sz w:val="20"/>
        </w:rPr>
      </w:pPr>
      <w:bookmarkStart w:id="16" w:name="toc124805_2"/>
      <w:bookmarkEnd w:id="16"/>
      <w:r>
        <w:rPr>
          <w:rFonts w:ascii="Times New Roman" w:hAnsi="Times New Roman"/>
          <w:i/>
          <w:color w:val="000000"/>
          <w:sz w:val="20"/>
        </w:rPr>
        <w:t>Investing in shares of our common stock involves a high degree of risk. You should carefully consider the following risks and uncertainties, together with all of the other information contained in this Quarterly Report, including our financial statements and related notes included elsewhere in this Quarterly Report, before making an investment decision. The risks described below are not the only ones we face. Many of the following risks and uncertainties are, and will continue to be, exacerbated by any worsening of the global geo-political, business, and economic environment. The occurrence of any of the following risks, or of additional risks and uncertainties not presently known to us or that we currently believe to be immaterial, could materially and adversely affect our business, financial condition, reputation, or results of operations. In such a case, the trading price of shares of our common stock could decline, and you may lose all or part of your investment.</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Summary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summary risk factors set forth below are the principal risks and uncertainties that we believe are material to our investors and a reader should carefully consider them. However, there are additional risks and uncertainties described in more detail in this “Risk Factors” section. This summary does not address every aspect of our risk factors, all of the risks that we face, or other factors not presently known to us or that we currently believe are immaterial.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 xml:space="preserve">in vivo </w:t>
      </w:r>
      <w:r>
        <w:rPr>
          <w:rFonts w:ascii="Times New Roman" w:hAnsi="Times New Roman"/>
          <w:color w:val="000000"/>
          <w:sz w:val="20"/>
        </w:rPr>
        <w:t xml:space="preserve">cell engineering platforms are based on novel technologies that are unproven and may not result in approvable or marketable products. This uncertainty exposes us to unforeseen risks, makes it difficult for us to predict the time and cost that will be required for the development and potential regulatory approval of our product candidates,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increases the risk that we may ultimately not be successful in our efforts to use and expand our technology platforms to build a pipeline of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successfully identify, develop, and commercialize any product candidates, or experience significant delays in doing so, our business, financial condition, and results of operations will be materially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substantial doubt as to our ability to continue as a going concern.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require additional funding to finance our operations. If we are unable to raise capital when needed, or on acceptable terms, we could be forced to delay, reduce, or eliminate some or all of our product development programs or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realize the benefits of technologies that we have acquired or in-licensed or will acquire or in-license in the future. We may also fail to enter into new strategic relationships or may not realize the benefits of any strategic relationships that we have entered into. The occurrence of any of the foregoing could materially adversely affect our business, financial condition, commercialization prospects,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develop our cell engineering platforms and product candidates and our future growth depend on retaining our key personnel and recruiting additional qualified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encounter difficulties in managing our growth if and as we expand our operations, including our development and regulatory capabilities, which could disrupt our operations and otherwise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use of human stem cells exposes us to a number of risks in the development of our human stem cell-derived products, including inability to obtain suitable donor material from eligible and qualified human donors, restrictions on the use of human stem cells, as well as ethical, legal, and social implications of research on the use of stem cells, any of which could prevent us from completing the development of or commercializing and gaining acceptance for our human stem cell-derived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must successfully progress our product candidates through extensive preclinical studies and clinical trials in order to obtain regulatory approval to market and sell such product candidates. Even if we obtain positive results in preclinical studies or clinical trials of a product candidate, these results may not be predictive of the results of future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testing of our product candidates may be delayed or otherwise unsuccessful, which would harm our ability to commence and successfully complete clinical trials of, and ultimately commercialize,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drug development is a lengthy and expensive process with uncertain timelines and outcomes. If clinical trials of any of our product candidates are prolonged or delayed, or need to be terminated, we may be unable to obtain required regulatory approvals and commercialize such product candidates on a timely basis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may fail to demonstrate that our product candidates, including any future product candidates, or technologies used in or used to develop such product candidates, meet the United States Food and Drug Administration’s (FDA) or a comparable foreign regulatory authority's requirements with respect to safety, purity, and potency, or efficacy, which would prevent, delay, or limit the scope of regulatory approval and commercialization of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may cause serious adverse, undesirable, or unacceptable side effects or have other properties that may delay or prevent marketing approval. If a product candidate receives regulatory approval, and such side effects are identified following such approval, the commercial profile of any approved label may be limited, or we may be subject to other significant negative consequences following such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manufacture of our product candidates is complex. We or our contract development and manufacturing organizations (CDMOs) may encounter difficulties in production, which could delay or entirely halt our or their ability to supply our product candidates for clinical trials or, if approved, for commercial sale.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a number of risks related to the supply chain for the materials required to manufacture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and expect to continue to rely, on third parties to perform certain activities, including research and preclinical studies, manufacture of our product candidates and materials used in the manufacturing of our product candidates, and the conduct of various aspects of our clinical trials. Any failure of such third parties to perform their obligations to us, including in accordance with our timelines or applicable regulatory requirements, could materially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on our ability to protect our intellectual property rights and proprietary technologies, and we may not be able to protect our intellectual property rights throughout the world.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depend on intellectual property licensed from third parties. If we breach our obligations under the applicable license agreements or if any of these agreements is terminated, we may be required to pay damages, lose our rights to such intellectual property and technology, or both, which would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internal computer systems, or those used by third parties involved in our operations, such as research institution collaborators, clinical research organizations (CROs), CDMOs, and other service providers, contractors, or consultants, may fail or suffer security breaches or incidents.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and commercialization of biopharmaceutical products is subject to extensive regulation, and the regulatory approval processes of the FDA and comparable foreign regulatory authorities are lengthy, time-consuming, and inherently unpredictable. Disruptions at these regulatory authorities could delay or otherwise hinder the regulatory approval process for our product candidates. If we are unable to obtain regulatory approval for our product candidates on a timely basis, or at all, our business will be substantially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losses since our inception, and we expect to incur losses for the foreseeable future. We have no products approved for commercial sale and may never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payment and contingent consideration obligations in our license and acquisition agreements may result in dilution to our stockholders, drain our cash resources, or require us to incur debt to satisfy the payment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in highly competitive and rapidly changing industries, which may result in others discovering, developing, or commercializing competing products before or more successfully than we do.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limited operating history may make it difficult to evaluate our prospects and likelihood of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the third parties upon whom we depend may be adversely affected by natural disasters, public health epidemics, telecommunications or electrical failures, geo-political actions, including war and terrorism, political and economic instability, and other events beyond our control, and our business continuity and disaster recovery plans may not adequately protect us from a serious disaster.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and economic conditions may negatively impact our business, financial condition, and share price.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Business and Industry</w:t>
      </w:r>
    </w:p>
    <w:p>
      <w:pPr>
        <w:pStyle w:val="TextBody"/>
        <w:bidi w:val="0"/>
        <w:spacing w:before="120" w:after="283"/>
        <w:jc w:val="left"/>
        <w:rPr>
          <w:rFonts w:ascii="Times New Roman" w:hAnsi="Times New Roman"/>
          <w:sz w:val="20"/>
        </w:rPr>
      </w:pPr>
      <w:r>
        <w:rPr>
          <w:rFonts w:ascii="Times New Roman" w:hAnsi="Times New Roman"/>
          <w:b/>
          <w:i/>
          <w:color w:val="000000"/>
          <w:sz w:val="20"/>
        </w:rPr>
        <w:t>Our ex vivo and in vivo cell engineering platforms are based on novel technologies that are unproven and may not result in approvable or marketable products. This uncertainty exposes us to unforeseen risks, makes it difficult for us to predict the time and cost that will be required for the development and potential regulatory approval of our product candidates, and increases the risk that we may ultimately not be successful in our efforts to use and expand our technology platforms to build a pipeline of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 key element of our strategy is to identify and develop a pipeline of product candidates using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platforms and advance those product candidates through clinical development for the treatment of various different diseases. The scientific research that forms the basis of our efforts to develop product candidates with our platforms is still ongoing. We are not aware of any FDA-approved therapeutics that are cell products derived from pluripotent stem cells (PSCs) or that utilize our fusogen technology. Further, the scientific evidence that supports the feasibility of developing therapeutic treatments based on our platforms is preliminary, limited, and remains ongoing. We are therefore exposed to a number of unforeseen risks, and it is difficult to predict the types of challenges and risks that we may encounter during development of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Preclinical and clinical testing of product candidates is inherently unpredictable and may lead to unexpected results, in particular when such product candidates are based on novel technologies. For example, we have not tested our cell engineering platforms on all cell types or in all microenvironments, and results from one cell type or microenvironment may not translate into other cell types or microenvironments. In addition, our current gene editing approaches rely on novel gene editing reagents that may have unanticipated or undesirable effects or prove to be less effective than we expect. Also, we are in the early stages of testing product candidates developed using our cell engineering platforms in humans, and most of our current data are limited to animal models and preclinical cell lines and assays, which may not accurately predict the safety and efficacy of our product candidates in humans. Additionally, we and third parties may have limited preclinical and clinical data, and a more limited understanding generally, with respect to certain indications, such as autoimmune diseases, and we cannot predict the extent to which the safety and efficacy of a product candidate may vary across indications. We may encounter significant challenges creating appropriate models and assays for evaluating the safety, purity, and efficacy of our product candidates and may not be able to provide sufficient data or other evidence, to the satisfaction of regulatory authorities, that certain unexpected results observed in preclinical and clinical testing of our product candidates are not indicative of the potential safety issues of such product candidates. In addition, we may use manufacturing reagents and materials across various programs and initiatives. Certain reagents and materials may be novel and have unknown or unanticipated effects, including with respect to a product candidate’s safety, efficacy, or manufacturability. Any unanticipated or adverse effects related or attributed to such reagents or materials could affect all the programs and initiatives in which they are used, and result in delays and harm our ability to timely and successfully progress our product candidates through preclinical and clinical development.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develop program plans and timelines for certain product candidates based on our experience with such product candidates in different indications or with other product candidates that incorporate or were developed with the same technologies based on our expectation that such product candidates will perform and act similarly. However, our product candidates may reveal unexpected, important differences, including with respect to safety or efficacy, when developed in different indications or as compared to such other product candidates, including differences that may require changes to the manufacturing process or clinical development plan that require additional time and resources beyond what we initially anticipated. Any such occurrence could require us to adjust or alter our development plans, which could delay, harm, or prevent our ability to develop and commercialize such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product candidates developed with our hypoimmune and fusogen technologies have potential safety risks, including those related to genotoxicity associated with the delivery of genome-modifying payloads. For example, DNA sequences that randomly integrate into a cell’s DNA may increase the risk for or cause certain cancers. Additionally, gene editing approaches may edit the genome at sites other than the intended DNA target or cause DNA rearrangements, each of which may have oncogenic or other adverse effects. PSC-derived cell products may have potential safety risks related to genomic and epigenomic variations that have occurred or may occur during the manufacturing process. We cannot always predict the types and potential impact of these genomic changes, including whether certain changes are or may eventually be harmful. Accordingly, it may be difficult for us to conduct the level of testing and assay development necessary to ensure that our PSC-derived cell product candidates have an acceptable safety profile when used in humans. These risks related to genetic variation are also relevant to any product candidates we may develop using donor-derived cells. Additionally, our stem cell-based product candidates have potential safety risks that may result from cells that are undifferentiated or have not been completely differentiated to the desired phenotype and lead to oncogenic transformations or other adverse effects. As a result, it is possible that safety events or concerns could negatively affect the development of our product candidates, as described elsewhere in these Risk Factors.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Given the novelty of our technologies, we intend to work closely with the FDA and comparable foreign regulatory authorities to perform the requisite scientific analyses and evaluation of our methods to obtain regulatory approval for our product candidates. However, due to a lack of experience with similar therapeutics or delivery methods, the regulatory pathway with the FDA and comparable foreign regulatory authorities may be more complex, time-consuming, and unpredictable relative to more well-known therapeutics. For example, even if we obtain human data to support continued evaluation and approval of our product candidates, the FDA or comparable foreign regulatory authorities may lack experience in evaluating the safety and efficacy of therapeutics similar to our product candidates or may scrutinize such data more closely than data generated from more established types of biological products. In addition, given that there are no approved PSC-derived cell therapy products on the market in the United States, and only a limited number of such products on the market outside of the United States, the FDA and comparable foreign regulatory authorities may not have established consistent standards by which to evaluate the safety of such products, and any such standards that they do establish may subsequently change. Moreover, the FDA remains focused on potential safety issues associated with gene and cell therapy products, and as the number of new gene and cell therapy product candidates submitted for FDA review has increased in recent years, the number of clinical holds imposed by the FDA has also increased. For example, the FDA has placed clinical holds on certain product candidates pending further evaluation of genomic abnormalities detected in as few as a single patient following administration of such product candidates. We cannot be certain that the FDA or comparable foreign regulatory authorities will determine that the potential safety risks associated with our product candidates outweigh the potential therapeutic benefits in each indication for which we develop our products, and that they will allow us to commence clinical trials of such product candidates in a timely manner, or at all, or to continue such clinical trials in accordance with our timelines or at all after they have commenced. If we become subject to a clinical hold with respect to any of our product candidates due to a potential safety issue, we cannot guarantee that we will be able to provide the applicable regulatory authority with sufficient data or other evidence regarding the safety profile of such product candidate such that we will be able to commence or resume clinical development of such product candidates in a timely manner or at all. Any such event could delay clinical development of such product candidate, including in other indications, or our other product candidates, increase our expected development costs, increase the length of the regulatory review process, and delay or prevent commercialization of our product candidates. In addition, the evaluation process for our product candidates will take time and resources and may require independent third-party analyses, and our product candidates may ultimately not be accepted or approved by the FDA or comparable foreign regulatory authorities. As such, even if we are successful in building a pipeline of product candidates from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platforms, we cannot be certain that such efforts will lead to the development of approvable or marketable products, either alone or in combination with other therapies.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response to reports of T cell malignancies in patients that previously received chimeric antigen receptor (CAR) T cell immunotherapies, the FDA announced in November 2023 its investigation into the risk of secondary cancers and the need for regulatory action for such therapies as a class and advised of new patient monitoring and reporting requirements with respect to such therapies. In January 2024, the FDA imposed a class-wide boxed warning requirement regarding the occurrence of T cell malignancies for all approved CAR T therapies. The FDA has noted that it currently believes that the overall benefits of these therapies continue to outweigh their potential risks for their approved uses. However, all currently approved CAR T cell immunotherapies are approved only in oncology indications, and there can be no assurance that the FDA or comparable foreign regulatory authorities will reach the same risk-benefit determination in other indications, such as autoimmune diseases. To the extent the FDA views </w:t>
      </w:r>
      <w:r>
        <w:rPr>
          <w:rFonts w:ascii="Times New Roman" w:hAnsi="Times New Roman"/>
          <w:i/>
          <w:color w:val="000000"/>
          <w:sz w:val="20"/>
        </w:rPr>
        <w:t xml:space="preserve">in vivo </w:t>
      </w:r>
      <w:r>
        <w:rPr>
          <w:rFonts w:ascii="Times New Roman" w:hAnsi="Times New Roman"/>
          <w:color w:val="000000"/>
          <w:sz w:val="20"/>
        </w:rPr>
        <w:t xml:space="preserve">CAR T cell therapies as posing similar or additional risks to those posed by the </w:t>
      </w:r>
      <w:r>
        <w:rPr>
          <w:rFonts w:ascii="Times New Roman" w:hAnsi="Times New Roman"/>
          <w:i/>
          <w:color w:val="000000"/>
          <w:sz w:val="20"/>
        </w:rPr>
        <w:t xml:space="preserve">ex vivo </w:t>
      </w:r>
      <w:r>
        <w:rPr>
          <w:rFonts w:ascii="Times New Roman" w:hAnsi="Times New Roman"/>
          <w:color w:val="000000"/>
          <w:sz w:val="20"/>
        </w:rPr>
        <w:t xml:space="preserve">CAR T therapies that were the subject of these FDA actions, the FDA may require us to take certain actions in connection with any </w:t>
      </w:r>
      <w:r>
        <w:rPr>
          <w:rFonts w:ascii="Times New Roman" w:hAnsi="Times New Roman"/>
          <w:i/>
          <w:color w:val="000000"/>
          <w:sz w:val="20"/>
        </w:rPr>
        <w:t>in vivo</w:t>
      </w:r>
      <w:r>
        <w:rPr>
          <w:rFonts w:ascii="Times New Roman" w:hAnsi="Times New Roman"/>
          <w:color w:val="000000"/>
          <w:sz w:val="20"/>
        </w:rPr>
        <w:t xml:space="preserve"> CAR T cell clinical trials we may conduct or we may otherwise receive correspondence from the FDA regarding these developments. It is unclear at this time how changes in the leadership of the FDA and other government administration actions and changes will impact our operations and future interactions with the FDA. Additionally, we and our product candidates may be subject to further regulatory actions or requirements of the FDA or comparable foreign regulatory authorities relating to these therapies, such as requiring a black box warning or other labeling disclosures for any approved products. The occurrence of any of the foregoing could increase the cost and complexity of development and commercialization of, and limit the commercial opportunity for, such product candidates, any of which could have a material adverse effect on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successfully identify, develop, and commercialize any product candidates, or experience significant delays in doing so, our business, financial condition, and results of operations will be materially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from sales of any of our product candidates, which we do not expect to occur for at least the next several years, if ever, will depend heavily on the timely and successful identification, development, regulatory approval, and eventual commercialization of any such product candidates, which may never occur. To date, we have not generated revenue from sales of any products, and we may never be able to develop, obtain regulatory approval for, or commercialize a marketable product. Before we generate any revenue from product sales of any of our current or potential future product candidates, we will need to manage research, preclinical, clinical, and manufacturing activities, including undertaking significant clinical development, obtain regulatory approval in multiple jurisdictions, establish manufacturing supply, including commercial manufacturing supply, and build a commercial organization, which will require substantial investment and significant marketing efforts. We may never receive regulatory approval for any of our product candidates, which would prevent us from marketing, promoting, or selling any of our product candidates and generating revenue.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successful development of our product candidates will depend on or be affected by numerous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successful and timely completion of preclinical studies and clinical trials for which the FDA and any comparable foreign regulatory authorities agree with the design, endpoints, and implementation;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sufficiency of our financial and other resources to complete the necessary preclinical studies and clinical trials and manufacturing activities necessary to support such studies and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timely receipt of regulatory approvals or authorizations to conduct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timely and successfully initiate, enroll patients in, and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demonstrate to the satisfaction of the FDA or any comparable foreign regulatory authority that the applicable product candidate meets the FDA’s or such comparable foreign regulatory authority’s legal standards with respect to safety, purity, and potency, or efficacy, which may include, among other things, demonstrating that the benefits of the product candidate outweigh its known risks for the intended patient population, and that such product candidate can be manufactured in accordance with applicable legal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timely receipt of marketing approvals for our product candidates from applicable regulatory authorities, including the impact of any changes to the FDA’s Accelerated Approval Program;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address any potential interruptions or delays resulting from external factors, including those related to the current global geo-political, business, and economic environment, including any changes in government administration policy positions;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of any clinical or regulatory setbacks experienced by other companies developing similar products or within adjacent fields, including cell-based therapies and the fields of gene editing and gene therapy, or publications or press coverage related to such therapies and fields, which could negatively impact the perceptions of the value and risk of our product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of any post-marketing approval commitments we may be required to make to applicable regulatory authorities, including the conduct of any post-marketing approval clinical studies, and our ability to comply with any such commitments;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scale up, and scale out, either alone or with CDMOs, manufacturing capabilities for clinical supply of our product candidates for our clinical trials and, if any of our product candidates are approved, commercial supply (including licensure) of such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experience issues or delays with respect to any one or more of these factors, we could experience significant delays or be unable to successfully develop and commercialize our product candidates, which would materially adversely affect our business, financial condition,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realize the benefits of technologies that we have acquired or in-licensed or will acquire or in-license in the future.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 key component of our strategy is to acquire and in-license technologies to support our mission of using engineered cells as medicines.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technologies represent an aggregation of years of innovation and technology from multiple academic institutions and companies, including hypoimmune technology that we licensed from the President and Fellows of Harvard College (Harvard) and The Regents of the University of California (UCSF), our fusogen technology that we acquired from Cobalt Biomedicine, Inc. (Cobalt), and gene editing technology that we licensed from Beam Therapeutics Inc., among others. We continue to actively evaluate various acquisition and licensing opportunities on an ongoing basis.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level of success of these acquisition and in-licensing arrangements, including any that we may enter into in the future, will depend on the risks and uncertainties involved,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unanticipated liabilities related to acquired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integrating acquired personnel, technologies, and operations into our existing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retaining key employees, including of any acquired businesses;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diversion of management time and focus from operating our business to management of acquisition and integration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increases in our expenses and reductions in our cash available for operations and other uses;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higher than expected acquisition or integration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 in our relationships with collaborators, key suppliers, manufacturers, or customers as a result of an acquisition;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incurrence of substantial debt or dilutive issuances of equity securities to pay transaction consideration or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possible write-offs of assets, goodwill or impairment charges, or increased amortization expenses relating to acquired businesses;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in and cost of combining the operations and personnel of any acquired business with our own;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challenges integrating acquired businesses into our business, including our existing operations and culture.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we have conducted several portfolio prioritizations to consolidate our resource allocation to fewer programs, resulting in, among other things, workforce reductions. Most recently, we conducted a portfolio prioritization to prioritize future development of SC451, our type 1 diabetes program, and programs enabled by our fusogen platform, and suspended development of and further internal investment in our two allogeneic cell therapy CAR T programs. Furthermore, we regularly evaluate our portfolio and may conduct further portfolio prioritizations in the future, which could result in the suspension, discontinuation, or divestiture of certain programs that are our current focus of development, which increases the risk that the benefits we expected from any acquired technologies, such as the fusogen platform, may be more expensive and difficult to obtain or may not occur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foreign acquisitions and licensing arrangements are subject to additional risks, including those related to integration of operations across different cultures and languages, currency risks, potentially adverse tax consequences of overseas operations, and the particular economic, political, regulatory, and compliance risks associated with specific countries. The occurrence of any of these risks or uncertainties may preclude us from realizing the anticipated benefit of any acquisition or licensing arrangement, and our financial condition may be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we may not be successful in our efforts to acquire, obtain rights to, or otherwise access certain technologies or products that are necessary for the success of our product candidates or technologies on acceptable terms or at all, including because we may be unable to successfully or timely negotiate the terms of an agreement with the third-party owner of such technology or products or such third party may have determined to deprioritize such technology or products. Such transactions, as well as other strategic relationships we may enter into, may also be impacted by policies of or actions by certain regulatory authorities, such as the Federal Trade Commission (FTC), that have jurisdiction over various aspects of such transactions and relationships. If we are not able to acquire, obtain rights to, or otherwise access certain technologies or products on which certain of our product candidates or technologies may depend, it may be necessary for us to delay, reduce, or curtail the development of such product candidates or technologies, or incur additional costs in order to continue development without such rights.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fail to enter into new strategic relationships or may not realize the benefits of any strategic relationships that we have entered into, either of which could materially adversely affect our business, financial condition, commercialization prospects,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product development programs and the potential commercialization of our product candidates will require substantial additional cash to fund expenses. In addition,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platforms are attractive technologies for potential collaborations due to their breadth of application. Therefore, for certain of our product candidates or technologies, including those that we may develop in the future, we may decide to form or seek strategic alliances, collaborations, or similar arrangements with pharmaceutical or biotechnology companies or other third parties that we believe will complement or augment our development and potential commercialization efforts with respect to such product candidates, including in territories outside the United States or for certain indications. We may also pursue alternative strategies or relationships, such as spin-outs, joint ventures, or investments in complementary businesses that align with our strategy, which may pose risks similar to those described elsewhere in these Risk Factors with respect to collaborations, as well as additional risks unique to these types of relationships. To the extent we enter into strategic relationships involving parties located outside the United States, we are subject to similar risks to those described elsewhere in these Risk Factors with respect to foreign acquisitions and licensing arrangements.</w:t>
      </w:r>
    </w:p>
    <w:p>
      <w:pPr>
        <w:pStyle w:val="TextBody"/>
        <w:bidi w:val="0"/>
        <w:spacing w:before="240" w:after="283"/>
        <w:jc w:val="left"/>
        <w:rPr>
          <w:rFonts w:ascii="Times New Roman" w:hAnsi="Times New Roman"/>
          <w:sz w:val="16"/>
        </w:rPr>
      </w:pPr>
      <w:r>
        <w:rPr>
          <w:rFonts w:ascii="Times New Roman" w:hAnsi="Times New Roman"/>
          <w:color w:val="000000"/>
          <w:sz w:val="20"/>
        </w:rPr>
        <w:t>We face significant challenges, including competition, in seeking appropriate collaborators. Collaborations are complex and time-consuming to negotiate and document. We may not be successful in our efforts to establish a collaboration or other alternative arrangements for our product candidates or technologies on acceptable terms or at all, including because our product candidates or technologies may be deemed to be at too early of a stage of development for collaborative effort or third parties may not view our product candidates as having the requisite potential to demonstrate success in clinical trials and ultimately obtain regulatory approval. We</w:t>
      </w:r>
      <w:r>
        <w:rPr>
          <w:rFonts w:ascii="Times New Roman" w:hAnsi="Times New Roman"/>
          <w:color w:val="000000"/>
          <w:sz w:val="16"/>
        </w:rPr>
        <w:t xml:space="preserve"> </w:t>
      </w:r>
      <w:r>
        <w:rPr>
          <w:rFonts w:ascii="Times New Roman" w:hAnsi="Times New Roman"/>
          <w:color w:val="000000"/>
          <w:sz w:val="20"/>
        </w:rPr>
        <w:t>may incur costs to continue developing one or more of our product candidates or technologies to establish or support an appropriate collaboration, which costs may outweigh the benefit of any such collaboration, if we are able to enter into a collaboration at all. Additionally, there have been a significant number of recent business combinations among large pharmaceutical companies that have reduced the number of potential future collaborators and changed the strategies of the resulting combined companies. In addition, under the terms of certain license agreements applicable to our product candidates and technologies, we may be restricted from entering into collaboration or similar agreements relating to those product candidates or technologies on certain terms or at all, and when we collaborate with a third party for development and commercialization of a product candidate, we expect that we may have to relinquish some or all of the control over the future success of that product candidate to the third party. Our ability to reach a definitive agreement for a collaboration will depend, among other things, upon our assessment of the collaborator’s resources and expertise, the terms and conditions of the proposed collaboration, and the proposed collaborator’s evaluation of our technologies, product candidates, and market opportunities. The collaborator may also consider alternative product candidates or technologies for similar indications that may be available for collaboration and could determine that such other collaboration is more attractive than a collaboration with us for our product candidate. Similar risks exist with respect to any joint ventures we may pursue, as well as risks and uncertainties related to the costs, time, and other resources required to manage and gain the benefit of any such joint venture, and any potential liabilities we may incur in connection with a joint venture.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instances where we enter into collaborations, we could be subject to the following risks, each of which may materially harm our business, commercialization prospects, and financial condition: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have significant discretion in determining the efforts and resources that they will apply to a collaboration and may not commit sufficient efforts, funding, and other resources to the development or marketing programs for collaboration product candidates or may misapply those efforts, funding, or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experience financial difficulties, including those that could negatively impact their ability to perform their obligations pursuant to the collaboration agreement, such as funding and development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pursue development and commercialization of collaboration product candidates or may elect not to continue or renew development or commercialization programs based on clinical trial results or changes in their strategic focus;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decide or may be required by regulatory authorities to delay clinical trials, stop a clinical trial, or abandon a product candidate, repeat or conduct new clinical trials, or require a new formulation of a product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relinquish important rights to our product candidates or technologies, such as marketing, distribution, and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agree to exclusivity, non-competition, or other terms that restrict our ability to research, develop, or commercialize certain existing or potential future product candidates or technologies, including our ability to develop our product candidates in certain indications or geographic regions or combine our product candidates with certain third-party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maintain or defend our intellectual property rights or may use our proprietary information in a way that gives rise to actual or threatened litigation that could jeopardize or invalidate our intellectual property rights or proprietary information or expose us to potential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infringe the intellectual property rights of third parties, which may expose us to litigation and potential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acquire outside of the collaboration or develop, independently or in collaboration with third parties, including our competitors, products that compete directly or indirectly with our product candidates and may decide to advance such product candidates instead of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own or co-own intellectual property rights covering the product candidates or technologies that result from our collaboration, and in such cases, we may not have the exclusive right to commercialize such product candidates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our collaborators may disagree regarding the development plan for a collaboration product candidate, including, for example, with respect to target indications, inclusion or exclusion criteria for a clinical trial, or the decision to seek approval as front-line therapy versus second-, third-, or fourth-line therapy;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with our collaborators that could result in the delay or termination of the research, development, or commercialization of the applicable product candidates or costly litigation or arbitration that diverts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combinations or significant changes in a collaborator’s business strategy may adversely affect our or the collaborator’s willingness to complete our or such collaborator’s obligations under the collaboration;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which may require us to obtain additional capital to pursue further development or commercialization of the applicable product candidates or technologies;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achieve the revenue, specific net income, or other anticipated benefits that justify our having entered into, or otherwise led us to enter into, the collaboration.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strategic collaborations do not result in the successful development and commercialization of product candidates, or if one of our collaborators terminates its agreement with us, we may not receive any future research funding or milestone, royalty, or other payments under the collaboration. Moreover, our initial estimates of the potential revenue we are eligible to receive under our strategic collaborations may include potential payments related to therapeutic programs for which our collaborators may discontinue development. If we are unable to enter into strategic collaborations, or if any of the other events described in this Risk Factor occur after we enter into a collaboration, we may have to curtail the development of a particular product candidate, reduce the scope of or delay the development program for such product candidate or one or more of our other product candidates, delay its potential commercialization or reduce the scope of our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will not be able to bring our product candidates to market and generate product revenue.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develop our cell engineering platforms and product candidates and our future growth depend on retaining our key personnel and recruiting additional qualified personnel.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success depends upon the continued contributions of our key management, scientific, and technical personnel, many of whom have been instrumental for us and have substantial experience with our cell engineering platforms and their underlying technologies and related product candidates. Given the specialized nature of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technologies and the fact that we are operating in novel and emerging fields, there is an inherent scarcity of personnel with the requisite experience to fill the roles across our organization. As we continue developing our product candidates and building our pipeline, we will require personnel with medical, scientific, or technical qualifications and expertise specific to each program. The loss of key management and senior scientists or other personnel could delay or otherwise impact our research and development activities, for example, through loss of institutional knowledge, capabilities, or subject matter expertise. In addition, the loss of key executives could disrupt our operations and our ability to conduct our business. Despite our efforts to retain valuable employees, all of our employees are at-will employees, and members of our management, scientific, and development teams may terminate their employment with us at any time, with or without notice. Moreover, regulations or legislation impacting our workforce, and any legal challenges thereto, may lead to increased uncertainty in hiring and competition for talent, and harm our ability to protect our company, including our intellectual property, after termination of employment. If our retention efforts are unsuccessful now or in the future, it may be difficult for us to implement our business strategy, which could have a material adverse effect on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certain of our key personnel continue to be employed by academic institutions. We may in the future have other personnel that have similar arrangements. These arrangements expose us to the risk that these individuals may return to their academic positions full-time, devote less of their time or attention to us than is optimal, or potentially expose us to claims of intellectual property ownership or co-ownership by their respective academic institutions.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competition for qualified personnel in the biotechnology and pharmaceutical industries is intense, and our future success depends upon our ability to attract, retain, and motivate highly skilled employees, including executives, scientists, engineers, clinical operations and manufacturing personnel, and sales professionals. We expect that we may continue to face competition for personnel from other companies, universities, public and private research institutions, and other organizations. We have from time to time experienced, and we expect to continue to experience, difficulty in hiring and retaining qualified employees on acceptable terms, or at all. For example, the United States government has announced changes to the H-1B visa program, including a new one-time $100,000 fee for new H-1B petitions, and plans to take further steps to reform the H-1B program. These or other changes to the H-1B program or the requirements for other visas could increase our costs, limit the flow of technical and professional talent into the United States, or otherwise harm our ability to recruit and retain qualified personnel who are critical to our business. In addition, many of the companies with which we compete for experienced personnel may have greater resources than we do and may be able to provide prospective job candidates or our existing employees with more attractive roles, salaries, or benefits than we can provide. If we hire employees from competitors or other companies, their former employers may attempt to assert that these employees or we have breached legal obligations, including non-solicitation or non-compete obligations, which may result in a diversion of our time and resources and, potentially, damages. In addition, job candidates and existing employees often consider the value of the stock awards they receive in connection with their employment. If the perceived benefits of our stock awards decline or are otherwise viewed unfavorably compared to those of companies with which we compete for talent, or if we or our prospects are otherwise viewed unfavorably, this could negatively impact our ability to recruit, motivate, and retain highly skilled employees.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2025, we conducted a portfolio prioritization to prioritize development of our SC451 and SG293 programs, and suspended development of and further internal investment in our two allogeneic cell therapy CAR T programs – SC291 in B-cell mediated autoimmune diseases and SC262 in oncology. Further, we previously conducted several portfolio prioritizations pursuant to which we implemented reductions in our workforce. Portfolio prioritizations and any associated reductions in our workforce may result in attrition beyond any planned reduction in workforce, reduced employee morale, and negative publicity, which may damage our reputation and make it more difficult for us to retain and motivate our current personnel as well as attract new personnel. These workforce reductions have also caused us to lose institutional knowledge, capabilities, and subject matter expertise and could negatively affect our efforts to obtain and maintain our intellectual property rights in the event we are unable to identify inventions made or identify or recreate the necessary scientific records or data. Any of the foregoing could significantly harm our business and future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Though many of our personnel have significant experience with respect to manufacturing biopharmaceutical products, we, as a company, do not have experience maintaining a manufacturing facility. For any manufacturing facility that we may develop or maintain, we cannot guarantee that we will be able to maintain a compliant facility and manufacture our product candidates as intended, given the complexity of manufacturing novel therapeutics. If we fail to successfully operate any facility we may develop or are unable to manufacture a sufficient and compliant supply of our product candidates to meet our needs, our clinical trials and the commercial viability of our product candidates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manufacture of biopharmaceutical products is complex and requires significant expertise, including the development of advanced manufacturing techniques and process controls. Manufacturers of cell and gene therapy products often encounter difficulties in production, particularly in scaling up, scaling out, validating initial production, ensuring product quality and the absence of contamination, and ensuring process robustness after initial production. These include difficulties with production costs and yields, quality control, including stability of the product, quality assurance testing, operator error, and shortages of qualified personnel, as well as compliance with strictly enforced federal, state, and foreign regulations. As a result of the complexities involved in biopharmaceutical manufacturing, the cost to manufacture biologics is generally higher than traditional small molecule chemical compounds and the manufacturing process is less reliable and more difficult to reproduce, and this is particularly true with respect to our product candidates. The application of new regulatory guidelines or parameters, such as those related to control strategy testing, may also adversely affect our ability to manufacture our product candidates in a compliant and cost-effective manner or at all. Any of the foregoing could lead to delays in or an inability to successfully manufacture our product candidates at the scale required for the development and potential commercialization of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have invested in building world class capabilities in key areas of manufacturing sciences, operations, and quality, including development of our cell engineering platforms, product characterization, and process analytics. Our investments also include scaled research solutions, scaled infrastructure, and novel technologies to improve efficiency, characterization, quality, and scalability of manufacturing. However, we have limited experience in managing the manufacturing processes necessary for making cell and gene therapies. We cannot be sure that the manufacturing processes that we use, or the technologies that we incorporate into these processes, will result in viable or scalable yields of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product candidates that will have acceptable safety, purity, and potency, or efficacy, profiles and meet market demand.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Designing and building out a current good manufacturing practices (cGMP) facility are time-consuming and require significant resources, which may require reallocation of certain existing financial, human, and other resources, including the time and attention of senior management. In addition, given the volatility in the costs of building materials, as well as the impact of rising rates of inflation in recent years and which may occur in the future, building out manufacturing capabilities may be more expensive than we expect. We have limited experience as a company in developing internal manufacturing capabilities, and we may experience unexpected costs or delays or be unsuccessful in developing internal manufacturing capabilities in accordance with our timelines or at all. Building out a manufacturing facility requires engagement of third-party service providers and procurement of equipment and third-party technology necessary for manufacturing activities, and agreements with such third parties or access to necessary technologies may not be available on commercially reasonable terms or at all. Moreover, there is no guarantee that the space that we may lease to develop a manufacturing facility would not change ownership over the term of the lease or be subject to additional zoning or other restrictions, and that, in such an event, we would be able to continue to build or operate the facility without restriction or further delay or cost.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operating a manufacturing facility may require us to hire and retain experienced scientific, quality control, quality assurance, and manufacturing personnel. As described elsewhere in these Risk Factors, this may be difficult given the intense competition for qualified personnel in the biotechnology and pharmaceutical industries.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rely, and expect we will continue to rely, on CDMOs to manufacture our product candidates for clinical trials. For any manufacturing facility we may develop, it may take us longer to establish and operationalize such facility than we originally anticipated, which could delay our ability to begin manufacturing certain of our product candidates internally, extend the period of time during which we must solely rely on CDMOs for the manufacture of such product candidates, and delay our clinical development timelines.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order to begin manufacturing activities at any manufacturing facility that we may operate, we may be required to transfer manufacturing processes and know-how for certain of our product candidates from our other facilities or our CDMOs to such facility. To date, we and our CDMOs have limited experience in the technology transfer of manufacturing processes. Transferring manufacturing processes and know-how is complex and involves review and incorporation of both documented and undocumented processes that may have evolved over time. In addition, transferring production to any facility we may operate may require utilization of new or different processes to meet our facility requirements. Additional studies may also need to be conducted to support the transfer of certain manufacturing processes and process improvements. We will not know with certainty whether all relevant know-how and data have been adequately incorporated into the manufacturing process being conducted at our facilities until the completion of studies and evaluations intended to demonstrate the comparability of material previously produced by our CDMOs with that generated by our facilities. Similar risks and considerations apply to the initial technology transfer from us to our CDMOs for manufacturing of preclinical and clinical supply, as well as between CDMOs in the event we are required to switch to a new CDMO.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a manufacturing facility will require us to comply with complex regulations. Moreover, any future commercial manufacturing facilities we may operate will require FDA or comparable foreign regulatory authority approval, which we may not obtain in time to support registration-enabling clinical trials for our product candidates, if at all. Even if approved, we would be subject to ongoing periodic unannounced inspections by the FDA, the Drug Enforcement Administration, corresponding state agencies, and comparable foreign regulatory authorities to ensure strict compliance with cGMP, current good tissue practices (cGTPs), and other government regulations. We may be unable to manufacture our product candidates if we fail to meet regulatory requirements and may be unable to scale up or scale out our manufacturing to meet market demand. Any failure or delay in the development of our manufacturing capabilities could adversely impact the development and potential commercialization of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encounter difficulties in managing our growth if and as we expand our operations, including our development and regulatory capabilities, which could disrupt our operations and otherwise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experienced rapid growth following our inception in July 2018. However, as described elsewhere in these Risk Factors, we undertook workforce reductions as part of our past restructurings, and in November 2025, conducted a portfolio prioritization to prioritize development of our SC451 and SG293 programs and suspended development of and further internal investment in our two allogeneic cell therapy CAR T programs. These events may yield unintended consequences and costs, including difficulty retaining and motivating remaining employees, difficulty attracting and hiring qualified employees, and increased reliance on third parties if needed to support our internal capabilities.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Despite our workforce reductions, if we have success in our future clinical trials and expand our research and development efforts, we may experience future growth in the scope of our operations, particularly if and as we advance our product candidates into and through IND-enabling studies and clinical trials and continue to establish and develop our regulatory, quality, and clinical operations and supply chain logistics and manufacturing. To manage our growth, we have implemented and improved, and plan to continue to implement and improve, our managerial, operational, and financial systems, and continue to recruit and train additional qualified personnel if and as we grow. However, due to our limited financial resources and the complexity of managing a growing company, we may not be able to effectively manage the expansion of our operations or recruit and train sufficient additional qualified personnel to achieve our business objectives within our desired timelines. The continued expansion of our operations will be costly and may divert our management and business development resources. For example, members of management will have significant added responsibilities in connection with effecting and managing our growth, including identifying, recruiting, integrating, maintaining, and motivating current and future employees, effectively managing our internal development efforts, including the clinical and regulatory (e.g., FDA) review process, while complying with our contractual obligations to third parties, and maintaining and improving our operational, financial, and management controls, reporting systems, and procedures. In addition, as we grow, we may be required to rely more heavily on third-party service providers, which exposes us to risks to which we would not be subject if we performed all work internally, as described elsewhere in these Risk Factors. Our inability to successfully manage our growth could disrupt our operations and otherwise harm our business, including by delaying execution of our programs and business plans.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we have limited financial and managerial resources, we focus on research programs, therapeutic platforms, and product candidates that we identify for specific indications. Additionally, we have contractual commitments under certain of our agreements to use commercially reasonable efforts to develop certain programs and, thus, do not have unilateral discretion to vary from such efforts. In addition, we have contractual commitments to conduct certain development plans, and thus may not have discretion to modify such development plans, including clinical trial designs, without agreement from our partners. As a result, we may forego or delay pursuit of opportunities with other therapeutic platforms or product candidates or for other indications that later prove to have greater commercial potential. Our resource allocation decisions may cause us to fail to capitalize on viable commercial products or profitable market opportunities. Additionally, we have been and may continue to be required to limit our investment of resources to certain programs in our portfolio that we believe have higher probabilities of success and, consequently, to reduce our investment in other potentially promising programs. Such decisions have required and would in the future require us to reduce the breadth and diversity of our product portfolio, which could potentially limit the long-term growth of our pipeline and subject us to greater risk that the failure of any such programs would harm our prospects.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or otherwise decide to cease development of a product candidate, we may relinquish valuable rights to that product candidate through collaboration, licensing, royalty, or other arrangements in cases in which it would have been more advantageous for us to retain sole development and commercialization rights.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i/>
          <w:color w:val="000000"/>
          <w:sz w:val="20"/>
        </w:rPr>
        <w:t>The use of human stem cells exposes us to a number of risks in the development of our human stem cell-derived products, including inability to obtain suitable donor material from eligible and qualified human donors, restrictions on the use of human stem cells, as well as the ethical, legal, and social implications of research on the use of stem cells, any of which could prevent us from completing the development of or commercializing and gaining acceptance for our human stem cell-derived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use human stem cells in our research and development, including induced PSCs (iPSCs) and embryonic stem cells (ESCs), and one or more of our </w:t>
      </w:r>
      <w:r>
        <w:rPr>
          <w:rFonts w:ascii="Times New Roman" w:hAnsi="Times New Roman"/>
          <w:i/>
          <w:color w:val="000000"/>
          <w:sz w:val="20"/>
        </w:rPr>
        <w:t>ex vivo</w:t>
      </w:r>
      <w:r>
        <w:rPr>
          <w:rFonts w:ascii="Times New Roman" w:hAnsi="Times New Roman"/>
          <w:color w:val="000000"/>
          <w:sz w:val="20"/>
        </w:rPr>
        <w:t xml:space="preserve"> cell engineering product candidates may be derived from human stem cells. The use of such cells in our research, or as starting cell lines in the manufacture of one or more of our product candidates, exposes us to numerous risks. These risks include difficulties in securing viable, appropriate, and sufficient stem cells as starting material, recruiting patients for our clinical trials, as well as managing a multitude of global legal and regulatory restrictions on the sourcing and use of these cells. For example, to the extent regulatory requirements differ across jurisdictions, we may face increased difficulty finding cells that meet all applicable jurisdictional requirements, or may be required to develop our product candidates using multiple different types of cells, which could increase the complexity and cost of development. In addition, certain cells may be subject to restrictions regarding the patient populations in which the resulting products can be used, which could limit the applicability and value of our product candidates. Further, in some states, use of embryonic tissue as a source of stem cells is prohibited and many research institutions have adopted policies regarding the ethical use of human embryonic tissue. If these regulations, policies, or restrictions have the effect of limiting the scope of research or other activities we can conduct using stem cells, our ability to develop our </w:t>
      </w:r>
      <w:r>
        <w:rPr>
          <w:rFonts w:ascii="Times New Roman" w:hAnsi="Times New Roman"/>
          <w:i/>
          <w:color w:val="000000"/>
          <w:sz w:val="20"/>
        </w:rPr>
        <w:t>ex vivo</w:t>
      </w:r>
      <w:r>
        <w:rPr>
          <w:rFonts w:ascii="Times New Roman" w:hAnsi="Times New Roman"/>
          <w:color w:val="000000"/>
          <w:sz w:val="20"/>
        </w:rPr>
        <w:t xml:space="preserve"> cell engineering product candidates may be significantly impaired, which could have a material adverse effect on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the use of stem cells generally, and ESCs, in particular, has social, legal, and ethical implications. Certain political and religious groups continue to voice opposition to the use of human stem cells in drug research, development, and manufacturing. Adverse publicity due to ethical and social controversies surrounding the use of stem cells could lead to negative public opinion, difficulties enrolling patients in our clinical trials, increased regulation, and stricter policies regarding the use of such cells, which could harm our business and may limit market acceptance of any of our product candidates that may receive regulatory approval. In addition, clinical experience with stem cells, including iPSCs and ESCs, is limited. We are aware of only a limited number of products utilizing iPSCs or ESCs as a starting material that have received marketing approval from the FDA or a comparable foreign regulatory authority. Therefore, patients in our clinical trials may experience unexpected side effects, and we may experience unexpected regulatory delays prior to or, if approval were to be granted, after regulatory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manufacturing and development of our stem cell-derived product candidates will require that we obtain suitable donor material from eligible and qualified human donors. If we are unable to obtain sufficient quantities of suitable donor material, or if we are unable to obtain such material in a timely manner, we may experience delays in manufacturing such product candidates, which would harm our ability to conduct clinical trials for or to commercialize these product candidates. Moreover, if the consent, authorization, or process for the donation and use of those materials is not obtained or conducted in accordance with applicable legal, ethical, and regulatory requirements, we could face delays in the clinical testing and approval of these product candidates, or, potentially, we could face claims by such human donors or regulatory authorities, which could expose us to damages and reputational harm.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Negative public opinion and increased regulatory scrutiny of research and therapies involving gene editing or other ex vivo or in vivo cell engineering technologies may damage public perception of our product candidates or adversely affect our ability to conduct our business or obtain regulatory approvals for our product candidates.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Certain aspects of our cell engineering platforms rely on the ability to modify the genome, including by editing genes. Public perception may be influenced by claims that genome modification is unsafe, and products using or incorporating genome modification may not gain the acceptance of the public or the medical community. Similarly, general perceptions of products relying on </w:t>
      </w:r>
      <w:r>
        <w:rPr>
          <w:rFonts w:ascii="Times New Roman" w:hAnsi="Times New Roman"/>
          <w:i/>
          <w:color w:val="000000"/>
          <w:sz w:val="20"/>
        </w:rPr>
        <w:t>ex vivo</w:t>
      </w:r>
      <w:r>
        <w:rPr>
          <w:rFonts w:ascii="Times New Roman" w:hAnsi="Times New Roman"/>
          <w:color w:val="000000"/>
          <w:sz w:val="20"/>
        </w:rPr>
        <w:t xml:space="preserve"> or </w:t>
      </w:r>
      <w:r>
        <w:rPr>
          <w:rFonts w:ascii="Times New Roman" w:hAnsi="Times New Roman"/>
          <w:i/>
          <w:color w:val="000000"/>
          <w:sz w:val="20"/>
        </w:rPr>
        <w:t>in vivo</w:t>
      </w:r>
      <w:r>
        <w:rPr>
          <w:rFonts w:ascii="Times New Roman" w:hAnsi="Times New Roman"/>
          <w:color w:val="000000"/>
          <w:sz w:val="20"/>
        </w:rPr>
        <w:t xml:space="preserve"> cell engineering techniques may be impacted by developments within the research community as well as across the pharmaceutical and biotechnology industries, including those affecting or related to other companies, including those developing products that are similar or within adjacent fields or that are being developed in the same indications. Negative perceptions of genome modification, including gene editing, or of cell or gene therapy products generally, may result in fewer physicians being willing to enroll patients into clinical trials of our product candidates or prescribing our treatments, reduce the willingness of patients to participate in clinical trials of our product candidates or use our treatments, or otherwise negatively impact the development of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addition, given the novel nature of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technologies, governments may impose import, export, or other restrictions in order to retain control or limit the use of such technologies. Further, in order to further understand the risks of novel genome modification technologies, regulatory authorities may require us to provide additional data prior to allowing clinical testing or commercialization of product candidates that use such technologies, which may cause us to incur additional costs and delay our development plans for certain of our product candidates. Increased scrutiny, negative public opinion, more restrictive government regulations, or enhanced governmental requirements, either in the United States or internationally, would have a negative effect on our business or financial condition and may delay or impair the development and commercialization of our product candidates or demand for such product candidates.</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the Development and Clinical Testing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must successfully progress our product candidates through extensive preclinical studies and clinical trials in order to obtain regulatory approval to market and sell such product candidates. Even if we obtain positive results in preclinical studies or clinical trials of a product candidate, these results may not be predictive of the results of future preclinical studies or clinical trials.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an IND or comparable foreign submission can be submitted to the FDA or a comparable foreign regulatory authority and be cleared or otherwise become effective, which is a prerequisite for conducting clinical trials on human subjects, a product candidate must successfully progress through extensive preclinical studies, which includes preclinical laboratory testing, animal studies, and formulation studies conducted in accordance with good laboratory practices. In addition, to obtain the requisite regulatory approvals to ultimately market and sell any of our product candidates, we or any future collaborator for such product candidate must satisfy the FDA’s or a comparable foreign regulatory authority’s legal standards with respect to safety, purity, and potency, or efficacy, which may include, among other things, demonstrating through adequate and well-controlled clinical trials that the benefits of the product candidate outweigh its known risks for the intended patient population.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Preclinical and clinical testing is inherently unpredictable. We may obtain positive data from early research or preclinical studies involving our product candidates and technologies, but subsequently encounter unexpected or unexplained results in later preclinical or clinical studies, including due to factors unrelated to our product candidates and technologies, that may cause the relevant product candidates or technologies to be unsuitable for further development. We may also need to perform additional research and preclinical or clinical studies for various reasons, including to determine the cause of any unexpected results, including whether such results were caused by our product candidates or technologies or other factors. Any of the foregoing could delay our development timelines or prevent us from continuing further development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obtain positive results from preclinical or clinical studies of our product candidates or technologies, success in preclinical or clinical studies does not ensure that later preclinical studies or clinical trials will be successful. A number of biotechnology and pharmaceutical companies have suffered significant setbacks in clinical trials, even after positive results in earlier preclinical or clinical studies, such as adverse findings observed while clinical trials were underway or safety or efficacy observations during clinical trials, including previously unreported adverse events, and we cannot be certain that we will not face similar setbacks. The design of a clinical trial can determine whether its results have the potential to support approval of a product, and flaws in a clinical trial’s design may not become apparent until the clinical trial is well advanced. In addition, the results of our preclinical animal studies, including our non-human primate (NHP) studies, may not be predictive of the results of subsequent clinical trials involving human subjects. Product candidates may fail to show the desired pharmacological properties or safety and efficacy traits in clinical trials despite having successfully progressed through preclinical studies or earlier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fail to obtain positive results in preclinical studies or clinical trials involving any of our product candidates or technologies, the development timeline and regulatory approval and commercialization prospects for any relevant product candidate, and, correspondingly, our business and financial prospects, would be negatively impacted. </w:t>
      </w:r>
    </w:p>
    <w:p>
      <w:pPr>
        <w:pStyle w:val="TextBody"/>
        <w:bidi w:val="0"/>
        <w:spacing w:before="360" w:after="283"/>
        <w:jc w:val="left"/>
        <w:rPr>
          <w:rFonts w:ascii="Times New Roman" w:hAnsi="Times New Roman"/>
          <w:sz w:val="20"/>
        </w:rPr>
      </w:pPr>
      <w:r>
        <w:rPr>
          <w:rFonts w:ascii="Times New Roman" w:hAnsi="Times New Roman"/>
          <w:b/>
          <w:i/>
          <w:color w:val="000000"/>
          <w:sz w:val="20"/>
        </w:rPr>
        <w:t>Preclinical testing of our product candidates may be delayed or otherwise unsuccessful, which would harm our ability to commence and successfully complete clinical trials of, and ultimately commercialize, such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Applicable laws and regulations require us to conduct preclinical testing of our product candidates in animals before initiating clinical trials involving humans, and the results and timing of such testing are uncertain. We may experience delays in or difficulty completing studies of our product candidates in animals for various reasons. For example, due to global supply chain issues caused by global geo-political, economic, and other factors beyond our control, as described elsewhere in these Risk Factors, we have experienced and may continue to experience difficulty and increased costs in accessing animal models, specifically certain NHP models, which could delay completion of our preclinical studies involving such models or harm our ability to conduct or complete such studies at all, and could limit the potential patient population for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animal testing has been the subject of controversy and adverse publicity. Animal rights groups and others have attempted to stop animal testing by pressing for legislation and regulation and by disrupting such testing through protests and other means. To the extent these attempts are successful, our research and development activities may be interrupted or delayed, become more expensive, or both.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required to submit an IND or comparable foreign submission to the FDA or comparable foreign regulatory authorities with respect to each product candidate prior to commencing a clinical trial for such product candidate in the applicable jurisdiction. Although we plan to submit INDs for each of our current and future product candidates, we may not be able to submit future INDs in accordance with our expected timelines for various reasons, including due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challenges or delays, including due to challenges associated with scaling up our manufacturing processes and developing and validating assays or otherwise meeting applicable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our IND-enabling preclinical studies;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feedback from the FDA or comparable foreign regulatory authorities that requires us to conduct additional testing or change the design of a planned clinical trial prior to submitting such IND or comparable foreign submission.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we cannot guarantee that submission of an IND or comparable foreign submission for a product candidate will result in the FDA or comparable foreign regulatory authorities allowing clinical trials of that product candidate to commence in accordance with our timelines or expectations or at all, including, for example, due to delays in review or approval timelines caused by disruptions and other factors impacting the FDA or comparable foreign regulatory authorities, or that, once begun, issues will not arise that require suspension or termination of such clinical trials. For example, the FDA or a comparable foreign regulatory authority may accept an IND or comparable foreign submission for a product candidate but place clinical trials of such product candidate on hold pending the results of additional testing or the development of additional assays, or may otherwise refuse or terminate the applicable submission. Further, because legal and regulatory requirements for conducting clinical trials vary across jurisdictions, our receipt of authorization to conduct clinical trials in one jurisdiction does not guarantee such authorization will be granted in other jurisdictions.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such legal and regulatory requirements may change over time, including in a manner that could cause us to incur delays or additional expense in order to comply. For example, the regulatory landscape related to clinical trials in the European Union (EU) continues to evolve. The EU Clinical Trials Regulation (CTR), which was adopted in April 2014 and repealed the EU Clinical Trials Directive, became applicable on January 31, 2022. Unlike the EU Clinical Trials Directive, which required a separate clinical trial application (CTA) to be submitted to both the competent national health authority and an independent ethics committee in each EU member state in which the clinical trial will be conducted, the CTR provides for a centralized process via the Clinical Trials Information System (CTIS). The CTR allows sponsors for multi-center trials to make a single submission and obtain authorizations in multiple jurisdictions. The system routes information to all concerned member states at once, and member states then coordinate their review of the dossier in a joint assessment, with a separate assessment by each member state with respect to specific requirements related to its own territory, including ethics rules. Typically, one country is appointed rapporteur (lead assessor) with others as co-rapporteurs, producing a single assessment report for all and a harmonized decision. Once the CTA is approved, clinical studies may proceed. Following a three-year transition period, effective January 31, 2025, any trials approved under the Clinical Trials Directive that continue running must comply with the CTR, and their sponsors must enter information regarding the trials in the CTIS. Compliance with the CTR requirements by us and our service providers, such as CROs, may impact our development plans. For example, because the CTR requires coordination of application review and processing across multiple member states, our ability to commence clinical trials in accordance with our timelines could be delayed. Further, the United Kingdom (UK) withdrew from the EU in 2020, and uncertainty remains as to whether and to what extent certain UK laws and regulations will be aligned with those of the EU, including the CTR, which does not apply in the UK. Local requirements in the UK and the EU have diverged and may further diverge in the future, which could impact any UK clinical and development activities we may conduct. For example, significant updates to the UK clinical trials regulations came into force in April 2026. In addition, clinical trial submissions in the UK must be separate from those submitted to EU member states, adding further complexity, cost, and potential risk to any clinical and development activity in the UK.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satisfy applicable legal or regulatory requirements or standards for an IND or comparable foreign submission, or experience delays in doing so, clinical development of our product candidates may be delayed or we may be unable to execute clinical trials of the applicable product candidate in the relevant jurisdiction. For example, we may decide not to submit an IND or comparable foreign submission in certain jurisdictions due to applicable legal or regulatory requirements in such jurisdiction, including based on future changes to such requirements. Additionally, even if regulatory authorities agree with the design and implementation of the clinical trials set forth in an IND or a comparable foreign submission, we cannot guarantee that such regulatory authorities will not change their requirements in the future, which could require us to make costly changes to and delay the conduct of our clinical trials or require suspension or termination of such trials entirely. In addition, because the manufacturing of our product candidates is in its early stages and continues to evolve, we expect that manufacturing-related matters such as chemistry, manufacturing, and controls, including product specifications, will continue to be a focus of regulatory review of our INDs or comparable foreign submissions, which may delay or prevent our ability to proceed with the relevant clinical trials. These considerations also apply to new clinical trials we may submit as amendments to existing INDs or comparable foreign submissions. </w:t>
      </w:r>
    </w:p>
    <w:p>
      <w:pPr>
        <w:pStyle w:val="TextBody"/>
        <w:bidi w:val="0"/>
        <w:spacing w:before="360" w:after="283"/>
        <w:jc w:val="left"/>
        <w:rPr>
          <w:rFonts w:ascii="Times New Roman" w:hAnsi="Times New Roman"/>
          <w:sz w:val="20"/>
        </w:rPr>
      </w:pPr>
      <w:r>
        <w:rPr>
          <w:rFonts w:ascii="Times New Roman" w:hAnsi="Times New Roman"/>
          <w:b/>
          <w:i/>
          <w:color w:val="000000"/>
          <w:sz w:val="20"/>
        </w:rPr>
        <w:t>Clinical drug development is a lengthy and expensive process with uncertain timelines and outcomes. If clinical trials of any of our product candidates are prolonged or delayed, or need to be terminated, we may be unable to obtain required regulatory approvals and commercialize such product candidates on a timely basis or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are expensive, complex, and can take many years to complete, and their outcomes are inherently uncertain and their data subject to varying interpretations and analyses. Product candidates in later-stage clinical trials may fail to produce the same results as observed in earlier trials or fail to show the desired safety and efficacy characteristics despite having progressed through preclinical studies and earlier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know whether any clinical trials we may conduct will begin on time, need to be redesigned, enroll patients on time, or be completed on schedule, if at all. Clinical trials may be delayed, suspended, or terminated, or may not be able to be conducted at all, for a variety of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failure to obtain regulatory authorization to commence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failure to obtain institutional review board (IRB) or ethics committee (EC) approval for each clinical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failure to reach agreement with prospective CROs and other service providers, clinical trial sites, or companion diagnostic development partners on acceptable terms,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in recruiting clinical trial investigators or clinical trial sites of appropriate competencies and experience, including due to pre-existing commitments or resource and other infrastructure constraints, including resource allocation to other clinical trials, such as those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inability to timely manufacture sufficient quantities of a product candidate for use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a product candidate to meet acceptable quality or stability standards, or failure to manufacture product candidates in accordance with cGMP and other applicable laws, regulations, and guidelines;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related to the delivery, handling, and administration of product candidates at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establishing the appropriate dosage levels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inability to recruit, enroll, and retain suitable patients in a trial, as discussed elsewhere in these Risk Factors;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patients to complete a trial or return for post-treatment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in identifying the sub-populations that are the target group for a particular trial, which may delay enrollment and reduce the power of a clinical trial to detect statistically significant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sites deviating from trial protocol or dropping out of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caused by the addition of new investigators or clinical trial sites or replacement of existing investigators or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safety, efficacy, or other concerns arising out of clinical trials involving our product candidates or technologies, including clinical trials we conduct ourselves or those sponsored or initiated by investigators (ISTs);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events arising during the course of a clinical trial, such as safety or tolerability concerns relating to the relevant product candidate, that could cause us or governmental authorities, as applicable, to suspend or terminate a clinical trial or program or impose a clinical hold, including if participants are being exposed to unacceptable health or safety risks or experiencing undesirable side effects or other adverse events, there are other unfavorable characteristics of the product candidate, or regulators deem our product candidate to have the potential for comparable undesirable side effects or risks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those of other product candidates, including those under development by us or third parties, due to compositional, biologic, mechanistic, sourcing, or other similarities;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failure of third-party contractors to comply with regulatory requirements or meet their contractual obligations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regulatory requirements, policies, and guidelines;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treatment landscape for our target indications that may make it more difficult to initiate or recruit patients for our clinical trials in certain jurisdictions or may make our product candidates no longer relevant;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claims that the product candidate being tested infringes third-party intellectual property rights, including any resulting injunctions that may prevent further use of such product candidates and interfere with the progress of the trial;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interruptions resulting from geo-political actions, including war and terrorism, natural disasters including earthquakes, typhoons, floods, and fires, or disease.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 trials must be conducted in accordance with the FDA’s and comparable foreign regulatory authorities’ legal requirements, regulations, and guidelines and are subject to oversight by these governmental authorities and IRBs or ECs of the medical institutions where the clinical trials are conducted. We could encounter delays if a clinical trial is suspended or terminated by us, by the IRBs or ECs of the institutions at which such trial is being conducted, by the Data Review Committee or Data Safety Monitoring Board for such trial, or by the FDA or comparable foreign regulatory authorities. Such authorities may impose such a suspension or termination, including following an inspection of clinical trial operations or a clinical trial site, for various reasons, including failure to conduct the clinical trial in accordance with regulatory requirements or our clinical protocols, unforeseen safety issues or adverse side effects, failure to demonstrate a benefit from use of the product candidate being tested, or changes in governmental regulations or administrative actions.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complexity and novelty of certain product candidates, the clinical trial design, and the indications for which such product candidates are being developed, as well as the combination of these factors, could negatively affect our ability to successfully execute and complete clinical trials of such product candidates in accordance with our timelines. For example, clinical trials of our product candidates may require specialized procedures, processes, or testing, which could be complex to implement and introduce variability across clinical trial sites. In addition, clinical trials involving certain indications, such as autoimmune diseases, may require the involvement and alignment of medical professionals across various specialties. Additionally, we may evaluate certain of our product candidates in multiple indications and across a broad range of diseases in a single clinical trial. Because these diseases can vary significantly, doing so may introduce additional complexities and challenges with executing our clinical trials, any of which could increase the time and expense required to commence and complete the applicable trial. Further, to the extent we develop our product candidates for multiple indications, the occurrence of any potential safety issues or significant side effects with respect to a particular indication or study could negatively affect the development of such product candidate in all indications. In addition, we cannot guarantee that any positive safety or other results we observe in a certain indication will also be observed in any other indication. We and third parties involved in our clinical trials may not have sufficient resources to adequately address such complexities in accordance with our timelines or at all. If we experience delays in completing, or are required to terminate, any clinical trial of our product candidates, the commercial prospects of the relevant product candidates will be harmed, and our ability to generate product revenues from these product candidates, if at all, will be delayed. In addition, any delays in completing or inability to complete our clinical trials will increase our costs and delay or jeopardize our ability to obtain regulatory approval for the relevant product candidate, commence product sales, and generate revenues. Significant clinical trial delays could also allow our competitors to bring products to market before we do or shorten any periods during which we have the exclusive right to commercialize our product candidates, which may impair our ability to commercialize our product candidates and harm our business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as described elsewhere in these Risk Factors, we have relied and will continue to rely on third parties that are responsible for executing or supporting our clinical trials, such as CROs and clinical trial sites, including principal investigators, and to the extent they fail to timely and properly perform their obligations, we may experience program delays, incur additional costs, or both, which may harm our business. In addition, we may experience delays and incur additional costs with respect to any clinical trials that we conduct in countries outside the United States, including as a result of increased shipment and distribution costs, compliance with additional or different regulatory requirements, and the engagement of non-United States-based CROs or other third parties, and may also be exposed to various other risks, including those associated with clinical investigators who are unknown to the FDA, transfers and use of data across jurisdictions, and different standards of diagnosis, screening, and medical care. Additionally, prediction markets and other platforms that permit trading or wagering on company-, industry- or product-related events may create additional risks, including by affecting perceptions or behavior of patients, investigators, healthcare professionals, investors, or other third parties in ways that could adversely affect our clinical trials, development programs, business, reputation, and stock price. These platforms continue to evolve and may give rise to risks that we do not currently anticipate or are unable to predict.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depend on timely and successful enrollment and retention of patients in our clinical trials for our product candidates. If we experience delays or difficulties enrolling or retaining patients in our clinical trials, our research and development efforts and business, financial condition, and results of operations could be materially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and timely initiation and completion of clinical trials will require that we timely enroll and retain a sufficient number of patients. Any clinical trials we conduct may be subject to delays for a variety of reasons, including as a result of patient enrollment taking longer than anticipated, patient withdrawal, or the occurrence of adverse events. These types of developments could cause us to delay the trial or halt further development of the relevant product candidate.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Patient enrollment and retention in clinical trials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and nature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severity of the disease under investigation, including patients’ prior lines of therapy and treatment;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eligibility and exclusion criteria for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location of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proximity of patients to clinical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design of the clinical protocol;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obtain and maintain patient consents;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competition with other sponsors or clinical trials for clinical trial sites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perceived risks and benefits of the product candidate under evaluation, including risks and benefits associated with other product candidates, including those under development by us or third parties, that may be perceived to be similar to our product candidates due to compositional, biologic, mechanistic, sourcing, or other similarities;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recruit and availability of clinical trial investigators and sites with the appropriate competencies, experience,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 that enrolled patients will drop out of the trial before administration of the product candidate or trial completion;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patients resulting from the impact of any pandemic, epidemic, or disease outbreak;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and clinicians’ and patients’ satisfaction with, existing and new drugs approved for the indication the clinical trial is investigating;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clinicians’ and patients’ perceptions as to the potential advantages of the product candidate being studied in relation to other available therapies, including any new therapies that may be approved for the indications the clinical trial is investigating or the approved label expansion of an existing therapy into the indication the clinical trial is investigating.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particular, our clinical trials will compete with other clinical trials that are in the same therapeutic areas as our product candidates. In addition, because the number of qualified clinical investigators and clinical trial sites is limited, we expect to conduct at least some of our clinical trials at the same sites as those used by our competitors. Competition with other clinical trials may reduce the number and types of patients available to participate in our trials, as some patients who might have opted to enroll in our trials may instead opt to enroll in a trial being conducted by one of our competitors. Moreover, enrolling patients in clinical trials for diseases for which there is an approved standard of care is challenging, as patients will first receive the applicable standard of care, and many patients who respond positively to the standard of care do not enroll in clinical trials. In addition, although patients who fail to respond positively to the standard of care treatment may be eligible for clinical trials of our product candidates, treatment with prior regimens may render our product candidates less effective in clinical trials. As a result, the number of eligible patients who have the potential to benefit from our product candidates could be limited, which could extend development timelines or increase costs for our programs.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circumstances described above and elsewhere in these Risk Factors may make it difficult for us to enroll enough patients to complete our clinical trials in a timely and cost-effective manner. If we are unable to timely recruit and enroll patients for our clinical trials, enroll a sufficient number of patients to complete our clinical trials as planned, or retain patients in our clinical trials, we may be required to change our trial design, recruit and enroll a different population of patients than we anticipated, or recruit and enroll patients in geographies that are more challenging. We may not be fully prepared to address such challenges, and even if we are able to address such challenges, the results of our clinical trials may be negatively impacted. Delays in the completion of any clinical trial we may conduct will increase our costs, slow down the development and approval process, and delay or potentially jeopardize our ability to commence product sales and generate revenue for the relevant product candidate. In addition, some of the factors that may cause, or lead to, a delay in the commencement or completion of clinical trials may also ultimately lead to the denial of regulatory approval of our product candidates.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Clinical trials may fail to demonstrate that our product candidates, including any future product candidates, or technologies used in or used to develop such product candidates, meet the FDA’s or a comparable foreign regulatory authority’s requirements with respect to safety, purity, and potency, or efficacy, which would prevent, delay, or limit the scope of regulatory approval and commercialization of such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obtain the requisite regulatory approvals to market and sell any of our current or future product candidates, we or our potential future collaborators must demonstrate with substantial evidence from adequate and well-controlled clinical trials of the product candidate, and to the satisfaction of the FDA or comparable foreign regulatory authorities, that such product candidate meets the FDA’s or such comparable foreign regulatory authorities’ legal standards with respect to safety, purity, and potency, or efficacy, which may include, among other things, demonstrating through adequate and well-controlled clinical trials that the benefits of the product candidate outweigh its known risks for the intended patient population. Clinical testing is expensive and can take many years to complete, and its outcome is inherently uncertain. Failure can occur at any time during the clinical development process. Most product candidates that begin clinical trials are never approved by regulatory authorities for commercialization. We may be unable to establish clinical endpoints that applicable regulatory authorities would consider clinically meaningful.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 trials of our product candidates or product candidates developed using our technologies (including those conducted by third parties, such as in the case of ISTs) may not demonstrate that such product candidates or technologies have efficacy and safety profiles necessary to support further development and regulatory approval. Safety or efficacy results for a particular clinical trial, or between different clinical trials of the same product candidate, can vary significantly due to numerous factors, including differences in the size and type of the patient populations, variety of patients and disease types within a trial, changes in, adherence to, and the level of consistency in the conduct of clinical trial protocols and trial procedures, and the rate of dropout among clinical trial participants. If the results of clinical trials are inconclusive with respect to the efficacy of our product candidates or those developed using our technologies, if we do not meet the clinical endpoints with statistical and clinically meaningful significance, or if there are safety concerns associated with our product candidates or technologies, we may experience delays in obtaining marketing approval, or we may not obtain approval at all. Additionally, any safety concerns observed in any clinical trial of one of our product candidates, or those developed using our technologies, in our targeted indications could limit the prospects for regulatory approval of such product candidate in those and other indications or the prospects of other product candidates we may develop that are perceived to have the potential for similar safety concerns.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some of our trials may be open-label trials in which the patient and/or investigator know whether the patient is receiving the investigational product candidate. Data generated from open-label clinical trials may exaggerate any therapeutic effect, as patients and/or investigators are aware when a patient has received the experimental treatment, which may cause investigators to interpret the information of the treated group more favorably. Therefore, positive results observed in open-label trials may not be replicated in later controlled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we or our collaborators (or other third parties, in the case of ISTs) successfully complete any clinical trials, clinical data are often susceptible to varying interpretations and analyses. We cannot guarantee that the FDA or comparable foreign regulatory authorities will interpret the results as we do, and more trials could be required before we submit our product candidates for approval. Even if positive results are observed in clinical trials, we cannot guarantee that the FDA or comparable foreign regulatory authorities will view our product candidates as having efficacy. Further, the FDA or comparable foreign regulatory authorities may not agree with our manufacturing strategy or may not find comparability between our clinical trial product candidates and proposed commercial product candidates, which may result in regulatory delays or a need to perform additional clinical studies. Moreover, clinical trial results that may be acceptable to support approval of a certain scope in one jurisdiction may be deemed inadequate to support regulatory approval, or may only be deemed sufficient to support a narrower scope of approval, in other jurisdictions. If the FDA or comparable foreign regulatory authorities determine that the results of clinical trials of our product candidates are not adequate to support approval of a marketing application, we may experience delays in obtaining, or fail to obtain, approval of our product candidates, or we may be required to expend significant additional resources, which may not be available to us, to conduct additional trials in support of potential approval of our product candidates. Even if regulatory approval is obtained for a product candidate, the terms of such approval may limit the scope and use of the specific product candidate, which may also limit its commercial potential.</w:t>
      </w:r>
    </w:p>
    <w:p>
      <w:pPr>
        <w:pStyle w:val="TextBody"/>
        <w:bidi w:val="0"/>
        <w:spacing w:before="360" w:after="283"/>
        <w:jc w:val="left"/>
        <w:rPr>
          <w:rFonts w:ascii="Times New Roman" w:hAnsi="Times New Roman"/>
          <w:sz w:val="20"/>
        </w:rPr>
      </w:pPr>
      <w:r>
        <w:rPr>
          <w:rFonts w:ascii="Times New Roman" w:hAnsi="Times New Roman"/>
          <w:b/>
          <w:i/>
          <w:color w:val="000000"/>
          <w:sz w:val="20"/>
        </w:rPr>
        <w:t>Our product candidates may cause serious adverse, undesirable, or unacceptable side effects or have other properties that may delay or prevent marketing approval. If a product candidate receives regulatory approval, and such side effects are identified following such approval, the commercial profile of any approved label may be limited, or we may be subject to other significant negative consequences following such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may cause serious adverse, undesirable, or unacceptable side effects, which could cause us or regulatory authorities to interrupt, delay, or halt our future clinical trials and could result in a more restrictive label or the delay or denial of regulatory approval by the FDA or comparable foreign authorities. We do not currently, and in the future may not, have sufficient clinical data or other information to enable us to fully anticipate the side effects of our product candidates. Accordingly, we may observe unexpected side effects or higher levels of expected side effects in clinical trials of our product candidates, including adverse events known to occur in the same classes of therapeutics, which may include infusion reaction, cytokine release syndrome, graft-versus-host disease, neurotoxicities, severe infection, and certain cancers.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Results of our clinical trials could reveal a high and unacceptable severity and prevalence of these or other side effects associated with our product candidates. In such an event, clinical trials of such product candidates could be suspended or terminated, and the FDA or comparable foreign regulatory authorities could order us to cease further development of or deny approval of such product candidates for any or all targeted indications. In addition, the FDA or comparable foreign regulatory authorities may more closely scrutinize any side effects or safety concerns associated with our product candidates in the context of the potential benefits observed in diseases that are not immediately life-threatening, such as certain autoimmune diseases, which could harm our ability to develop or obtain regulatory approval for applicable product candidate in such diseases. Moreover, the occurrence of such side effects could negatively affect our ability to recruit and enroll patients in our clinical trials or the ability of enrolled patients to complete the clinical trials, or result in product liability claims. For example, patients with diseases that are not immediately life-threatening, including certain autoimmune diseases, and their physicians may be less likely to enroll or recommend enrollment in clinical trials of our product candidates if there is a risk of certain side effects or safety concerns and may be more likely to cease their participation in such clinical trials if they experience certain side effects. Similar events may occur if it is determined that there are side effects or safety concerns associated with other products or product candidates that are, or are perceived to be, similar to ours. Any of these occurrences could significantly harm our business, financial condition,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clinical trials by their nature involve only a sample of the potential patient population. Because our clinical trials will involve only a limited number of patients and limited duration of exposure to our product candidates, rare and severe side effects of our product candidates may not be apparent during early clinical trials and may only be uncovered once a significantly larger number of patients have been exposed to the product candidate, including during later-stage clinical trials or following commercialization, or when longer-term data is available. As such, even if applicable regulatory authorities initially determine that our product candidates have an acceptable safety profile for their intended use in humans, they may later prove to cause serious side effects in patients that we were unable to observe or predict during their clinical development.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event that any of our product candidates receives regulatory approval and we or others later determine that such product may cause undesirable or unacceptable side effects, a number of potentially significant negative consequences could result,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withdraw or limit approvals of such product and require us to take such product off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the addition of labeling statements, specific warnings, or a contraindication or field alerts to physicians and pharmacies, or issue other communications containing warnings or other safety information about the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a medication guide outlining the risks of such side effects for distribution to patients or that we implement a risk evaluation and mitigation strategy (REMS) plan to ensure that the benefits of the product outweigh its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change the therapeutic dose or the way the product is administered, conduct additional clinical trials, or change the labeling of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limitations on how we may promote or manufacture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the product may decrease significantly;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litigation or product liability claims;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of these events could prevent us or our potential future partners from achieving or maintaining market acceptance of the affected product or could substantially increase commercialization costs and expenses, which in turn could delay or prevent us from generating significant revenue from the sale of any products. </w:t>
      </w:r>
    </w:p>
    <w:p>
      <w:pPr>
        <w:pStyle w:val="TextBody"/>
        <w:bidi w:val="0"/>
        <w:spacing w:before="360" w:after="283"/>
        <w:jc w:val="left"/>
        <w:rPr>
          <w:rFonts w:ascii="Times New Roman" w:hAnsi="Times New Roman"/>
          <w:sz w:val="20"/>
        </w:rPr>
      </w:pPr>
      <w:r>
        <w:rPr>
          <w:rFonts w:ascii="Times New Roman" w:hAnsi="Times New Roman"/>
          <w:b/>
          <w:i/>
          <w:color w:val="000000"/>
          <w:sz w:val="20"/>
        </w:rPr>
        <w:t>Interim, topline, or preliminary data from our preclinical studies or clinical trials that we may announce or publish from time to time may change as more data become available or as we make changes to our manufacturing processes. These data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publicly disclose interim, topline, or preliminary data from our preclinical studies or clinical trials, which are based on a preliminary analysis of then-available data, and the final results and related findings and conclusions are subject to change following a more comprehensive review of the study or trial data. We also make assumptions, estimations, calculations, and conclusions as part of our analyses of data, and we may not have received or had the opportunity to fully and carefully evaluate all data at the time of our initial disclosure of data. Further, modifications or improvements to our manufacturing processes for a product candidate may result in changes to its characteristics or behavior that could cause the product candidate to perform differently and affect the results of our preclinical studies or planned or ongoing clinical trials of such product candidate, and potentially require us to conduct additional preclinical studies or clinical trials. As a result, the topline results that we report may differ from future results of the same studies, or different conclusions or considerations may qualify such results once additional data have been received and fully evaluated. Interim, topline, and preliminary data also remain subject to audit and verification procedures, including source data verification, that may result in the final data being materially different from the preliminary data we previously disclosed. As a result, these data should be viewed with caution until the final data are available. Similarly, preliminary or interim data from clinical trials are subject to the risk that one or more of the clinical outcomes may materially change as patient enrollment continues and more patient data become available. Adverse differences between preliminary or interim data and final data could significantly harm our business prospects. Additionally, disclosure of preliminary or interim data by us or our competitors, with respect to clinical trials of their product candidates, could result in volatility in the price of our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others, including regulatory authorities, investors, or analysts, may not accept or agree with our assumptions, estimates, calculations, conclusions, or analyses, or may interpret or weigh the importance of data, including any decisions we may make based on that data, particularly limited or preliminary data, differently than we do, which could impact the value of the particular program, the approvability or commercialization of the particular product candidate, and our company in general. If the interim, topline, or preliminary data that we report differ from actual results, or if others, including regulatory authorities, investors, or analysts, disagree with the conclusions reached, our ability to obtain approval for and commercialize our product candidates, as well as our business, operating results, prospects, and financial condition, could be harmed.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 candidates or technologies may be involved in ISTs, and we will have limited or no control over the conduct of such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ISTs involving our product candidates or technologies pose or are subject to similar risks to those set forth elsewhere in these Risk Factors relating to clinical trials that we conduct ourselves. Although ISTs may provide us with clinical data that can inform the development strategy for our product candidates, we may have limited or no ability to control the timing, design, and conduct of such ISTs or regulatory matters with respect to such ISTs, including the submission, clearance or approval, or maintenance of any IND or comparable foreign submission required to conduct such ISTs. For example, we have experienced delays in commencing an IST for our SG293 program due to factors beyond our control, and we may experience further delays in this or other programs in the future. In addition, we may not control the data collection and reporting, including timing thereof, with respect to any ISTs, and may not control the manufacturing of the product candidate or technology to be tested in any such ISTs. A delay in the timely completion of or reporting of data from any IST, including as a result of manufacturing complications or delays, which could occur for various reasons such as the need to obtain additional licenses, delays in recruiting, enrolling, or retaining patients, or other potential issues, including those described in these Risk Factors, could have a material adverse effect on our ability to further develop our product candidates or to advance our product candidates through subsequent clinical trials. Negative results from an IST could have a material adverse effect on our business and prospects and the perception of our product candidates and technologies. Additionally, there is a possibility that ISTs may be conducted under less rigorous clinical standards than those used in company-sponsored clinical trials. For these or other reasons, the FDA and comparable foreign regulatory authorities may more closely scrutinize the resulting data and may not view these data as providing adequate support for future clinical trials, whether sponsored by us or third parties. In addition, any potential IST could demonstrate marginal efficacy or reveal clinically relevant safety concerns that could delay the further clinical development or regulatory approval of our product candidates. Further, data from a potential IST may fail to demonstrate efficacy for various reasons, including those unrelated to our product candidates or technologies, which may negatively impact the perception of such product candidates and technologies, despite their potential for future success. To the extent that the results of any ISTs raise safety or other concerns regarding our product candidates or technologies, regulatory authorities may question the results of such ISTs or other clinical trials involving the relevant product candidate or technology. Safety concerns arising from any ISTs may cause the FDA or comparable foreign regulatory authorities to impose partial or full clinical holds on clinical trials of our product candidates, including product candidates that were developed using the same technology or manufactured using the same reagents and materials as those product candidates that are the subject of such ISTs, which could delay or prevent us from advancing our product candidates into further clinical development and require us to discontinue our development of such product candidates. The occurrence of any of the foregoing would severely harm our business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The manufacture of our product candidates is complex. We or our CDMOs may encounter difficulties in production, which could delay or entirely halt our or their ability to supply our product candidates for clinical trials or, if approved, for commercial sale.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are considered to be biologics, and the process of manufacturing biologics is complex and requires significant expertise and capital investment, including with respect to the development of advanced manufacturing techniques and process controls. We currently rely, and expect to continue to rely, on CDMOs for the manufacture of our product candidates for clinical studies. We also anticipate that we will continue to rely on CDMOs for at least some portions of our supply chain following commercialization of any product candidates for which we may receive regulatory approval. As described elsewhere in these Risk Factors, we expect that we will continue to be required to transfer certain manufacturing processes and know-how to our CDMOs and any manufacturing facility we may operate, which is a complex process with which we have limited experience. If we experience any delays or issues with the foregoing, manufacturing of our product candidates could be delayed, and we may need to rely to a greater extent on CDMOs for the manufacture of such product candidates for longer than anticipated.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To date, we and our CDMOs have limited experience in manufacturing of cGMP batches of our product candidates. Our CDMOs and, if we operate our own manufacturing facility, we, must comply with cGMPs and other complex regulations and guidelines applicable to the manufacturing of biologics for use in clinical trials and, if approved, commercial sale, and any inability or failure to comply with such regulations and guidelines could delay our clinical trials or prevent us from being able to commence clinical testing at all. To date, we have not scaled the manufacturing processes with respect to our product candidates for later-stage clinical trials and commercialization, and we and our CDMOs may not have sufficient capacity, resources, or capabilities to scale such manufacturing processes in accordance with our desired timelines or at all. Further, certain of our product candidates, or materials used in their manufacture, may have characteristics that present increased manufacturing complexity, necessitate longer manufacturing process timelines, or require a greater number of manufacturing runs. If we are unable to successfully scale the manufacturing process for these product candidates, including in compliance with cGMP quality requirements, or adapt such manufacturing process to meet late-stage development or commercial quality requirements, we may not be able to manufacture sufficient quantities of compliant product candidates, or manufacture them in a timely manner, which would harm our ability to clinically develop and commercialize such product candidates. In addition, the manufacturing of our product candidates, including large-scale manufacturing, may require new technologies and the development of novel processes for upstream and downstream activities, including analytical technologies, which could cause delays in the scaling of manufacturing, as well as greater costs that could negatively impact the financial viability of our product candidates. We cannot be sure that the manufacturing processes employed by us or our CDMOs or the technologies that our CDMOs incorporate into our manufacturing processes will result in viable or scalable yields of </w:t>
      </w:r>
      <w:r>
        <w:rPr>
          <w:rFonts w:ascii="Times New Roman" w:hAnsi="Times New Roman"/>
          <w:i/>
          <w:color w:val="000000"/>
          <w:sz w:val="20"/>
        </w:rPr>
        <w:t xml:space="preserve">ex vivo </w:t>
      </w:r>
      <w:r>
        <w:rPr>
          <w:rFonts w:ascii="Times New Roman" w:hAnsi="Times New Roman"/>
          <w:color w:val="000000"/>
          <w:sz w:val="20"/>
        </w:rPr>
        <w:t xml:space="preserve">and </w:t>
      </w:r>
      <w:r>
        <w:rPr>
          <w:rFonts w:ascii="Times New Roman" w:hAnsi="Times New Roman"/>
          <w:i/>
          <w:color w:val="000000"/>
          <w:sz w:val="20"/>
        </w:rPr>
        <w:t>in vivo</w:t>
      </w:r>
      <w:r>
        <w:rPr>
          <w:rFonts w:ascii="Times New Roman" w:hAnsi="Times New Roman"/>
          <w:color w:val="000000"/>
          <w:sz w:val="20"/>
        </w:rPr>
        <w:t xml:space="preserve"> cell engineering product candidates that will have acceptable safety, purity, potency, or efficacy profiles and, if approved, meet market demand.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biologic product candidates are susceptible to product loss or reduced manufacturing success rates at various points during the manufacturing process, including due to contamination, equipment damage or failure, including during shipment or storage, failure of equipment to operate as expected, improper installation or operation of equipment, vendor or operator error, damage to, variability of, or improper use of raw materials or consumables necessary for the manufacturing process, inconsistency in yields, variability in product characteristics, and difficulties in scaling the production process. Any of these issues, and even minor deviations from normal manufacturing processes, could result in reduced production yields, product defects, and other supply disruptions and delays. If microbial, viral, or other contaminations are discovered in our product candidates or in the facilities in which our product candidates are manufactured, including any manufacturing facility we may operate or those of our CDMOs, such supply may have to be discarded, our products may be withdrawn from clinical trials and, if approved, the market, and such facilities may need to be closed for an extended period of time to investigate and remedy the contamination. Moreover, if the FDA or comparable foreign regulatory authorities determine that we or our CDMOs, or our or our CDMOs’ facilities, are not in compliance with applicable laws and regulations, including cGMPs, the FDA or comparable foreign regulatory authority may not approve a biologics license application (BLA) or comparable foreign marketing authorization until the deficiencies are corrected or we replace the manufacturer in our applications with a compliant manufacturer, and we may ultimately be unable to manufacture our product candidates. The occurrence of any of these issues could delay our ability to commence or timely complete clinical development, obtain regulatory approval of, and commercialize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may make changes to our manufacturing processes at various points during development, and even after commercialization, for various reasons, such as to control costs, achieve scale, improve quality, decrease processing time, or increase manufacturing success rate. Such changes carry the risk that they will not achieve their intended objectives, and any of these changes could result in changes to a product candidate’s characteristics or behavior or cause our product candidates to perform differently and affect the results of any of our then-ongoing or future preclinical studies or clinical trials, or the performance of the product, once commercialized. In certain circumstances, if we make changes to our manufacturing process for a product candidate, regulatory authorities may require us to perform comparability studies and collect additional preclinical or clinical data prior to undertaking additional clinical trials or obtaining marketing approval for or commercializing the product candidate produced with such modified process. For instance, if we make changes to our manufacturing process for a product candidate during the course of preclinical or clinical development, regulatory authorities may require us to demonstrate the comparability of the product used in preclinical studies, earlier clinical phases, or earlier portions of a trial to the product used in later clinical trials or clinical phases or later portions of a trial, as applicable. If at any point we switch to a different CDMO or supplier of reagents or materials used in the manufacturing process for a product candidate or to any manufacturing facility we may operate, including, for example, in order to ensure sufficient supply for later-stage clinical trials and potential commercialization, we will also be required to perform comparability studies in order to demonstrate comparability of the applicable product candidate, reagent, or material from the prior CDMO or supplier to that from, as applicable, the new CDMO or supplier or our manufacturing facility, and otherwise demonstrate that the relevant product candidate, reagents, or materials meet the applicable specifications. We may be unable to successfully generate comparability data, and even if we are able to generate and provide such data, regulatory authorities may disagree with the design of our comparability studies or otherwise determine that the data are insufficient to support a determination of comparability. Similarly, we may be unable to demonstrate that the relevant materials meet the applicable specifications. In such an event, we may be required to make further changes to our process or undertake additional preclinical or clinical testing, which could result in manufacturing delays and affect our ability to timely dose patients in our clinical trials, which could delay further development or commercialization of such product candidate, or we may be unable to continue development of the applicable product candidate at all.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adverse developments affecting manufacturing, including logistics, operations for any of our product candidates, including those for which we may obtain regulatory approval, may result in shipment delays, inventory shortages, lot failures, product withdrawals or recalls, or other supply interruptions that could negatively impact the conduct of our clinical trials or our ability to successfully commercialize any product candidates for which we may obtain regulatory approval. We may also have to take inventory write-offs and incur other charges and expenses for products that fail to meet specifications as a result of defects or storage over an extended period of time, undertake costly remediation efforts, or seek more costly manufacturing alternatives. Any such issues would harm our ability to timely and successfully complete clinical trials and obtain regulatory approval of our product candidates, which could have a significant negative impact on our business,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exposed to a number of risks related to the supply chain for the materials required to manufacture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manufacturing of our product candidates is highly complex and requires sourcing of specialty materials. Many of the risks associated with the complex manufacturing of our final product candidates are applicable to the manufacture and supply of the raw materials required to make such product candidates. In particular, these raw materials are subject to inconsistency in yields, variability in characteristics, contamination, difficulties in scaling the production process, and defects. Similar minor deviations in the manufacturing process for these raw materials could result in supply disruption and reduced production yields for our final product candidates. In addition, we rely on third parties for the supply of these materials, which exposes us to risks associated with dependence on third parties, as described elsewhere in these Risk Factors. Further, we may use certain reagents and materials across various programs and initiatives, and any difficulties we experience with such reagents or materials, including with respect to sourcing, quality, or other factors, could have a more significant impact on our portfolio and business than if we used different reagents and materials for each of our programs and initiatives.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require many reagents, which are drug substance intermediates used in our manufacturing processes to bring about chemical or biological reactions, and other specialty raw and intermediate materials, consumables, and equipment, for our manufacturing processes and for quality control testing of our product candidates, some of which are manufactured or supplied by small companies with limited resources and experience with respect to supporting clinical or commercial biologics production. Some of these suppliers may not have the capacity or resources to support manufacturing of products under cGMP on our timelines or at all or may otherwise be ill-equipped to support our needs, including if and as we expand our manufacturing activities to support later-stage clinical trials and, for any product candidates that may receive regulatory approval, commercialization. Reagents and other key materials from these suppliers may have inconsistent attributes and introduce variability into our manufactured product candidates, which may contribute to variable patient outcomes and possible adverse events. We also do not have supply contracts with many of these suppliers and may not be able to enter into supply contracts with them on acceptable terms or at all. Accordingly, we may experience delays in receiving key reagents, materials, consumables, and equipment to support clinical or commercial manufacturing, which could delay development and commercialization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some of these reagents, materials, consumables, and equipment, we and our CDMOs currently rely and may in the future rely on sole source vendors or a limited number of vendors. We may be unable to continue to source reagents, materials, consumables, or equipment from any of these vendors for various reasons, including due to regulatory actions or requirements affecting a vendor, adverse financial or other strategic developments experienced by a supplier, labor disputes or shortages, unexpected demand from other customers and supply limitations, or quality issues. Additionally, due to global geo-political, economic, and other factors beyond our control, there has been, and there are and may continue to be, a shortage of key materials, consumables, and equipment that are necessary to manufacture our product candidates, including certain consumables such as media, reagents, bags, flasks, and pipette tips, which could affect our or our CDMOs’ ability to obtain the materials, consumables, and equipment necessary to manufacture our product candidates. If any of the foregoing events were to occur, we may experience delays in manufacturing our product candidates, which would harm our ability to conduct future clinical trials and, if approved, commercialize our products and generate product revenues in a timely manner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as described elsewhere in these Risk Factors, rising rates of inflation in recent years and other factors have resulted in substantial increases in the costs associated with manufacturing our product candidates, including the costs of materials, consumables, and equipment, that we are unable to offset. Given the unpredictable nature of the current economic climate, including the potential impact of tariffs, export controls, and future rates of inflation, it may be increasingly difficult for us to predict and control our future expenses, which may harm our ability to conduct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we continue to develop and scale our manufacturing processes, we expect that we will need to obtain rights to and supplies of certain materials and equipment to be used as part of those processes. We may not be able to obtain rights to or sufficient quantities of such materials or equipment on commercially reasonable terms, or at all, and our inability to alter our processes in a commercially viable manner to avoid the use of such materials or equipment or find suitable substitutes would have a material adverse effect on our business. Even if we are able to alter our processes to use other materials or equipment, such a change may delay our clinical development or commercialization plans. As described elsewhere in these Risk Factors, if such a change occurs for product candidate that is already being tested in clinical trials, the change may require us to perform comparability studies, demonstrate that the new materials or equipment meet applicable specifications, and collect additional data from patients prior to undertaking more advanced clinical trials.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become exposed to costly and damaging liability claims, either when testing our product candidates in clinical trials or at the commercial stage, and our product liability insurance may not cover all damages arising from such claims.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potential product liability and professional indemnity risks that are inherent in the research, development, manufacturing, marketing, and use of pharmaceutical products. The use of our product candidates in clinical trials, and the sale of any products for which we may obtain approval in the future, may expose us to liability claims. These claims might be made by patients that use the product, healthcare providers, pharmaceutical companies, or others selling such products. Any claims against us, regardless of their merit, could be difficult and costly to defend and could materially adversely affect the market for our product candidates or any prospects for commercialization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the clinical trial process is designed to identify and assess potential side effects, it is always possible that a drug, even after regulatory approval, may exhibit unforeseen side effects. Physicians and patients may not comply with any warnings that identify known potential adverse effects or patients who should not use our product candidates. If any of our product candidates were to cause adverse side effects during clinical trials or after approval, we may be exposed to substantial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would require significant financial and management resources to defend against any product liability claims, even if we are successful in such defense. Regardless of the merits or eventual outcome, liability claims may result in decreased demand for our product candidates, negative publicity and injury to our reputation, withdrawal of clinical trial participants, investigations by regulatory authorities, costs to defend the related litigation, diversion of management’s time and our resources, substantial monetary awards to clinical trial participants or patients, product recalls, withdrawals, or labeling, marketing, or promotional restrictions, loss of revenue, exhaustion of any available insurance and our capital resources, inability to commercialize our product candidates, and a decline in our share price.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maintain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be unable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Dependence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rely, and expect to continue to rely, on CDMOs, including third-party testing laboratories, to manufacture our product candidates, as well as materials used in the manufacturing of our product candidates, including testing of such product candidates and materials. Any failure by a CDMO to properly produce acceptable materials or product candidates for us or any failure by us or such CDMO to obtain authorization from the FDA or comparable foreign regulatory authorities or otherwise satisfy regulatory requirements with respect to such manufacturing of our product candidates may delay or impair our ability to initiate or complete our clinical trials, obtain regulatory approvals, or commercialize approved products.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rely on CDMOs, including third-party testing laboratories, to manufacture our product candidates for use in clinical testing and expect to continue to rely on such CDMOs to manufacture at least some of our product candidates thereafter as part of our manufacturing strategy. A limited number of CDMOs specialize in or have the expertise required to manufacture our product candidates or materials used in their manufacture. Moreover, our CDMOs have limited capacity at their facilities and require commitments to secure availability well in advance of manufacturing any products or other materials. Additionally, we face competition from other biopharmaceutical companies to secure manufacturing availability at these facilities. If the CDMOs on which we rely to manufacture our product candidates and other materials do not have sufficient availability at their facilities to do so in accordance with our timelines or are not otherwise able to meet our expected deadlines, we will experience delays in manufacturing our product candidates or other materials necessary for their manufacture. For example, we may rely on single CDMOs for certain manufacturing activities across multiple programs, and any issues we may experience with such a CDMO, including inability to secure manufacturing capacity as and when needed, could result in manufacturing delays across all such programs and harm our ability to timely and successfully complete clinical trials and commercialization of our product candidates. In addition, as described elsewhere in these Risk Factors, we assess and prioritize our programs on an ongoing basis based on various factors. We may not be able to secure manufacturing capacity for certain programs as and when needed and may be required to prioritize manufacturing activities for certain programs over others, which could lead to manufacturing delays and harm our ability to further develop the relevant product candidates. We may also experience similar capacity constraints and manufacturing delays in the future with respect to products we may manufacture at any manufacturing facility we may operate. Further, for each new program or CDMO we engage, or in the case of certain changes to the manufacturing process for a product candidate, the relevant manufacturing process and related know-how must be transferred to the CDMO. This technology transfer is time-consuming and complex. If we are required to switch from an existing CDMO to a new CDMO or to any manufacturing facility we may operate, including to meet cGMP quality requirements or support process lock or larger-scale manufacturing for later-stage clinical trials or potential commercialization, we will need to conduct additional technology transfer activities, which could result in delays in further development of the applicable product candidate.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CDMOs also face intense competition to attract and retain qualified personnel. If our CDMOs are unable to attract, retain, and motivate qualified personnel, they may be unable to perform their obligations in a timely manner or at all, or their performance may be substandard or may not meet our quality requirements, which could cause us to experience delays in or otherwise negatively impact the manufacturing of our product candidates. In addition, our CDMOs and other third parties supporting our operations may experience organizational changes, including due to mergers, acquisitions, or other transactions in which they are involved, which could similarly affect such parties’ ability to timely and properly perform their obligations or perform such obligations at all. Further, as described elsewhere in these Risk Factors, there are few alternatives for the CDMOs that we currently engage, and even if one of our CDMOs fails to perform according to our expectations and, for this or other reasons, we decide to switch to an alternative CDMO, there is no guarantee that such alternative CDMO will be able to perform its obligations in a timely manner or that its performance will meet our expectations or quality requirements. Any delays in manufacturing our product candidates could materially harm our ability to conduct our clinical trials or commercialize our product candidates in a timely manner or at all and could harm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may rely on CDMOs to produce sufficient quantities of materials required for the manufacture of our product candidates for preclinical testing and clinical trials and intend to continue to rely on CDMOs for the commercial manufacture of at least some of our products, if approved. Global supply chain shortages and rising rates of inflation in recent years and other factors have resulted in substantial increases in the costs of materials, including raw materials, reagents, consumables, and equipment that are required to make or used in the manufacture of our product candidates, and such costs may continue to increase for various reasons, including those described elsewhere in these Risk Factors. If we are unable to obtain such items from third-party sources, or fail to do so on commercially reasonable terms, we may not be able to produce sufficient supply of product candidate or we may be delayed or be required to incur additional costs in doing so. Such inability or failure, or any substantial delay in obtaining or additional costs for such items, could materially harm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rely on third parties to produce certain reagents and biological materials that are used in our discovery and development programs. These materials can be difficult to produce and occasionally have variability from our product specifications. If these materials do not comply with our product specifications, or in the event of any other disruption in the supply of these materials, our business could be materially adversely affected. Although we have control processes and screening procedures, biological materials are susceptible to damage and contamination and may contain active pathogens. Our suppliers may also have low yield from manufacturing batches of these materials, which could increase our costs and slow our development timelines. Improper storage of these materials, by us or any third-party suppliers, may require us to destroy some of these materials or product candidates generated using such materials.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Reliance on CDMOs entails additional risks to which we would not be subject if we manufactured product candidates ourselves, including those applicable to other third-party service providers, as described elsewhere in these Risk Factors. In particular, such risks include reliance on the CDMO for regulatory compliance and quality control and assurance, including compliance with cGMP requirements and comparable standards relating to methods, facilities, and controls used in the manufacturing, processing, testing, and packing of product candidates, which are intended to ensure that biological products have acceptable safety profiles and that they consistently meet applicable requirements and specifications, and our CDMOs may be unable to satisfy applicable compliance and quality requirements in accordance with our timelines or at all. Additional risks include reliance on the CDMO for volume production, the possibility of breach of or inability to perform its obligations under the manufacturing agreement by the CDMO (including a failure to synthesize and manufacture our product candidates in accordance with our product specifications, failure to properly scale-up manufacturing processes, or failure to deliver sufficient quantities of product candidates in a timely manner), and the possibility of termination or nonrenewal of the agreement by the CDMO at a time that is costly or damaging to us. For example, certain of our CDMOs may be unable to manufacture sufficient supply of our product candidates or materials used in their manufacture, in particular, if and as we implement commercial cGMP practices or scale up manufacturing for later-stage clinical trials and potential commercialization. If we experience any issues with respect to the risks described above, or otherwise with respect to the performance by our CDMOs, we may be required to seek a replacement CDMO, which could require significant internal resources and additional costs, delay our ongoing manufacturing activities, and ultimately be unsuccessful. If we were unable to timely find an adequate replacement for our CDMOs or another acceptable solution when needed, our clinical trials could be delayed, or our commercial activities could be harmed. In addition, because we depend on our CDMOs, our suppliers, and other third parties for the manufacture, filling, storage, and distribution of our product candidates, we may be unable to prevent or control manufacturing defects in our products, the use or sale of which could seriously harm our business, financial condition, and results of operations. Issues involving any of the foregoing risks could increase our costs, delay our development timelines, and ultimately lead to a delay in, or failure to obtain, regulatory approval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Pharmaceutical manufacturers are required to register their facilities and products manufactured at the time of submission of the marketing application and then annually thereafter with the FDA and certain state and foreign agencies. If the FDA or a comparable foreign regulatory authority does not approve our CDMO’s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on a timely basis or at all. Any discovery of problems with a product, or a manufacturing or laboratory facility used by us or our strategic partners in connection with manufacturing of that product, may result in restrictions on the product or on the relevant facility, including marketed product recall, suspension of manufacturing, product seizure, or a voluntary withdrawal of the drug from the market. We may have little to no control regarding the occurrence of any such incidents at our CDMOs.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Pharmaceutical manufacturers are also subject to extensive post-marketing oversight by the FDA and comparable regulatory authorities in the jurisdictions where a product is marketed, including periodic unannounced and announced inspections by the FDA to assess compliance with cGMP requirements. Any failure by one of our CDMOs to comply with cGMP or to provide adequate and timely corrective actions in response to deficiencies identified in a regulatory inspection could result in further enforcement action that could lead to a shortage of products and harm our business, including withdrawal of approvals previously granted, seizure, injunction, or other civil or criminal penalties. The failure of a CDMO to address any concerns raised by the FDA or comparable foreign regulatory authorities could also lead to plant shutdown or the delay or withholding of product approval by the FDA in additional indications or by comparable foreign regulatory authorities in any indication. In addition, because our CDMOs also provide manufacturing services to other companies, including our competitors, there is a risk that our CDMOs may experience the issues described in this Risk Factor with respect to such third parties and their product candidates as well. The occurrence of any such issues could restrict, partially or completely, or otherwise negatively impact such CDMO’s ability to timely and successfully perform its obligations for us with respect to our own product candidates, which would harm our ability to continue manufacturing and commercialize such product candidates. Certain countries may impose additional requirements on the manufacturing of drug products or drug substances, and on manufacturers, as part of the regulatory approval process for products in such countries. The failure by our CDMOs to satisfy such requirements could impact our ability to obtain or maintain approval of our products in such countries. In addition, as described elsewhere in these Risk Factors, our CDMOs may be subject to various other laws and regulations, compliance with or the effect of which could harm our relationship with such CDMOs and negatively impact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obtain sufficient raw and intermediate materials on a timely basis or if we experience other manufacturing or supply interruptions or difficulties, we may be unable to resume supply of such materials or other manufacturing activities within a reasonable time frame and at an acceptable cost or at all, which could materially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manufacture of our product candidates requires the timely delivery of sufficient amounts of raw and intermediate materials. We purchase, and rely on our CDMOs to purchase, certain of these materials from third-party suppliers in order to produce our product candidates for our preclinical and clinical studies. There are a limited number of suppliers of these materials, and we may need to assess alternate suppliers to prevent possible disruption of manufacturing of our product candidates for our preclinical studies, our future clinical trials, and if ultimately approved, commercial sale. We have relied, and expect to continue to rely, on our CDMOs to purchase materials in order to produce product candidates for our clinical trials; however, we do not have any control over the process or timing of the acquisition of these materials by our CDMOs or the costs of such materials. We work closely with our CDMOs and suppliers, as applicable, to ensure the continuity of supply, but we cannot ensure that these efforts will always be successful. Further, although we strive to diversify our sources of raw and intermediate materials, in certain instances we acquire raw and intermediate materials from a sole supplier. We cannot be sure that these suppliers will remain in business, or that they will not be purchased by one of our competitors or another company that is not interested in continuing to supply these materials for our intended purpose. As described elsewhere in these Risk Factors, such suppliers may also experience other organizational changes that could negatively impact their ability to supply necessary materials for our programs in a timely manner or at all. Alternative sources of supply may exist when we rely on sole supplier relationships, but we cannot ensure that, if needed, we would be able to quickly establish additional or replacement sources for some materials. The lead time needed to establish a relationship with a new supplier can be lengthy, and we may experience delays in the event a new supplier must be used. In addition, the time and effort to qualify a new supplier could result in additional costs, diversion of resources, or reduced manufacturing yields, any of which would negatively impact our operating results. Although we generally would not begin a clinical trial unless we believe we have a sufficient supply of a product candidate to complete the clinical trial, any significant delay in the supply of a product candidate, or the raw or intermediate material components thereof, for an ongoing clinical trial due to the need to replace a supplier could considerably delay completion of our clinical trials, product testing, and potential regulatory approval of our product candidates. Moreover, we currently do not have any agreements for the commercial supply of these raw or intermediate materials. A reduction or interruption in supply of raw or intermediate materials combined with an inability of us or our CDMOs to timely establish alternative sources for such supply could adversely affect our ability to manufacture our product candidates or approved products in a timely or cost-effective manner, result in a shortage of product supply, delay the development and any commercial launch of our product candidates, and ultimately impair our ability to generate revenues from sales of any approved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rely, and expect to continue to rely, on third parties, including service providers such as CROs, clinical trial sites, including principal investigators, and independent clinical investigators, to conduct or support our preclinical studies and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and expect to continue to rely, on third parties, including service providers such as CROs, independent clinical investigators, clinical trial sites, and logistics providers, among others, to properly and timely execute or support our preclinical studies and clinical trials and related activities, and to monitor and manage data for our ongoing preclinical and clinical programs, and we have relied to a greater extent on such outsourced activities following our November 2024 workforce reduction. However, we are only able to control certain aspects of the activities of these third parties to the extent set forth under our contracts with these third parties, and we have limited influence over their actual performance. Nevertheless, we are responsible for ensuring that each of our preclinical studies and clinical trials is conducted in accordance with the applicable protocol and legal, regulatory, and scientific standards and rules, and our reliance on these third parties does not relieve us of these obligations. With respect to any of our product candidates that may enter clinical development, we and our CROs and other service providers, as well as our clinical trial sites, including principal investigators, are required, and we rely on them, to comply with good clinical practices (GCP) requirements, which are regulations and guidelines enforced by the FDA and comparable foreign regulatory authorities. Regulatory authorities enforce GCPs through periodic inspections of clinical trial sponsors and clinical trial sites, including principal investigators. If we or any of our CROs or other service providers, or any clinical trial sites or principal investigators involved in our trials, fail to comply with applicable GCPs, the clinical data generated from these clinical trials may be deemed unreliable and the FDA or comparable foreign regulatory authorities may require us to perform additional clinical trials before approving our marketing applications. We cannot be certain that upon inspection by a given regulatory authority, such regulatory authority will determine that any of our clinical trials comply with GCP. In addition, to the extent third parties executing or otherwise supporting our clinical trials, including CROs and clinical trial sites, including principal investigators, fail to conduct such clinical trials in accordance with GCP, fail to timely and successfully enroll and administer our product candidates to patients in our clinical trials, or experience significant delays or other challenges in the execution of our trials, including delays in achieving full enrollment or clinical trial data collection and analysis, we may experience program delays, incur additional costs, or both, which may harm our business. Our clinical trials must also be conducted using product produced in compliance with cGMP regulations, and our failure to do so may require us to repeat clinical trials, which would delay the regulatory approval process for the relevant product candidate.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third parties that support our preclinical and clinical programs, such as service providers, including CROs, independent clinical investigators, and clinical trial sites, including principal investigators, are not our employees, and we are unable to control, other than by contract, the amount of resources, including time, that they devote to our product candidates, preclinical studies, and clinical trials. If such third parties, including our CROs or other service providers, are unable to attract, retain, and motivate qualified personnel or fail to devote sufficient resources to the development of our product candidates, they may be unable to perform their obligations in a timely manner or at all, or their performance may be substandard or fail to meet our quality requirements, which may delay or compromise the conduct of our preclinical and clinical programs and the prospects for approval and commercialization of any such product candidates. As described elsewhere in these Risk Factors, such third parties may also experience organizational changes that could similarly negatively impact their performance or prevent them from performing at all. In addition, in order for these third parties to perform under their contracts with us, we regularly disclose or plan to disclose to these third parties confidential or proprietary information, which increases the risk that this information will be misappropriated. Additionally, disruptions caused by global geo-political, economic, and other factors beyond our control may increase the likelihood that these third parties encounter difficulties or delays in performing their obligations to us, including with respect to initiating, enrolling, conducting, or completing our planned clinical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is a limited number of third parties, including service providers such as CROs and clinical trial sites, that specialize in or have the expertise required to achieve our business objectives. These third parties generally have the right to terminate their agreements with us in the event of our uncured material breach, and may have the right to terminate under other circumstances, including if it can be reasonably demonstrated that the safety of the subjects participating in our clinical trials warrants such termination. If any of our relationships with these third parties terminate, we may not be able to enter into arrangements with alternative third parties or do so in a timely manner or on commercially reasonable terms. If these third parties do not successfully carry out their contractual duties or obligations or meet expected deadlines, if they need to be replaced, or if the quality or accuracy of the data they obtain is compromised due to the failure to adhere to our preclinical or clinical protocols, regulatory requirements, or for other reasons, our preclinical studies or clinical trials may be extended, delayed, or terminated, the results thereof could be negatively impacted,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Switching from existing to alternative service providers or clinical trial sites, or adding new service providers or clinical trial sites, may involve significant cost and requires management time and focus. In addition, there is a natural transition period when a new service provider commences work, which could lead to delays and materially impact our ability to meet our desired development, including clinical development, timelines. Additionally, even if our service providers perform as required, they may lack the capacity to absorb higher workloads or take on additional capacity to support our needs. Though we carefully manage our relationships with these service providers, including our contracted laboratories and CROs, there can be no assurance that we will not encounter these types of challenges or delays in the future or that these delays or challenges will not have a material adverse impact on our business, financial condition, and prospects.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Intellectual Property and Information Technology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success depends on our ability to protect our intellectual property rights and proprietary technologies, and we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 rights are national or regional rights. The filing, prosecution, maintenance, and defense of patent rights on our platform technologies and product candidates worldwide would be prohibitively expensive, and our intellectual property rights in some countries outside the United States may have a different scope and strength than do those in the United States. In addition, the laws of some foreign countries, particularly certain developing countries, do not protect intellectual property rights to the same extent as federal and state laws in the United States. Consequently, we may not be able to prevent third parties from practicing our intellectual property rights in all countries outside the United States or from making, using, selling, or importing products made using our intellectual property rights in and into the United States or other jurisdictions. Competitors may use our technologies in jurisdictions where we have not obtained intellectual property rights, including patent protection, to develop their own products and may also export otherwise infringing products to territories where we have intellectual property rights, including patent protection, but enforcement rights are not as strong as those in the United States. These products may compete with our products and our patent or other intellectual property rights may not be effective or adequate to prevent them from competing.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 Proceedings to enforce our patent and other intellectual property rights in foreign jurisdictions are expensive, especially in jurisdictions where we have no local presence, and could result in substantial costs and divert our efforts and attention from other aspects of our business. Furthermore, such proceedings could put our patents at risk of being invalidated, held unenforceable, or interpreted narrowly,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Similarly, if our trade secrets are disclosed in a foreign jurisdiction, 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foreign intellectual property laws. In addition, certain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In addition, many countries limit the enforceability of patents against government agencies or government contractors. This could limit our potential revenue opportunities. Accordingly, our efforts to enforce our intellectual property rights around the world may be inadequate to obtain a significant commercial advantage from the intellectual property that we develop or license.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the expense and uncertainty of litigation, we may conclude that, even if a third party is infringing our issued patents, or any patents that may be issued as a result of our pending or future patent applications, or other intellectual property rights, the risk-adjusted cost of bringing and enforcing such a claim or action, which typically lasts for years before it is concluded, may be too high or not in the best interest of our company or our stockholders, or it may be otherwise impractical or undesirable to enforce our intellectual property against some third parties. Our competitors or other third parties may be able to sustain the costs of complex patent litigation or proceedings more effectively than we can because of their greater financial resources and/or more mature and developed intellectual property portfolios. In such cases, we may decide that the monetary cost of such litigation and the diversion of the attention of our management and scientific personnel could outweigh any benefit we may receive as a result of the proceedings and that the more prudent course of action is to simply monitor the situation or initiate or seek some other non-litigious action or solution. In addition, the uncertainties associated with litigation could compromise our ability to raise the funds necessary to initiate or continue our future clinical trials, continue our internal research programs, in-license needed technology or other product candidates, or enter into development partnerships that would help us bring our product candidates to market.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Global geo-political actions, such as those described elsewhere in these Risk Factors, including retaliatory measures that may be implemented by foreign countries in response to tariffs or other actions by the United States, could also increase the uncertainties and costs surrounding the prosecution and maintenance of our or our licensors’ patent applications and the maintenance, enforcement, and defense of our or our licensors’ issued patents or otherwise adversely impact our intellectual property rights in those countries.</w:t>
      </w:r>
    </w:p>
    <w:p>
      <w:pPr>
        <w:pStyle w:val="TextBody"/>
        <w:bidi w:val="0"/>
        <w:spacing w:before="360" w:after="283"/>
        <w:jc w:val="left"/>
        <w:rPr>
          <w:rFonts w:ascii="Times New Roman" w:hAnsi="Times New Roman"/>
          <w:sz w:val="20"/>
        </w:rPr>
      </w:pPr>
      <w:r>
        <w:rPr>
          <w:rFonts w:ascii="Times New Roman" w:hAnsi="Times New Roman"/>
          <w:b/>
          <w:i/>
          <w:color w:val="000000"/>
          <w:sz w:val="20"/>
        </w:rPr>
        <w:t>We depend on intellectual property licensed from third parties, and our rights to develop and commercialize our product candidates are subject to, in part, the terms and conditions of the applicable license agreements. If we breach our obligations under these agreements or if any of these agreements is terminated, we may be required to pay damages, lose our rights to such intellectual property and technology, or both, which would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depend on patents, know-how, and proprietary technology, both that we own and that we license from others, to research, develop, and commercialize our product candidates. We are a party to a number of intellectual property license agreements and acquisition agreements pursuant to which we have acquired certain of our core intellectual property rights. Moreover, we rely upon licenses to certain intellectual property rights and proprietary technology from third parties that are important or necessary for the development of our technologies and products, including technology related to our manufacturing processes and our product candidates. These licenses may not provide exclusive rights to use such intellectual property and technology in all relevant fields of use or in all territories in which we may wish to develop or commercialize our technology and products in the future. As a result, we may not be able to prevent competitors from developing and commercializing competitive products in such fields of use or territories. These licenses may also require us to grant back certain intellectual property rights to our licensors and to pay certain amounts relating to sublicensing patent and other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entered into, and we expect to enter into in the future, license and other agreements pursuant to which we may obtain access to or acquire intellectual property rights and technologies. These license and acquisition agreements impose, and we expect that future license and acquisition agreements will impose, various diligence, milestone, royalty, and other payment, and other obligations on us. If we fail to comply with our obligations under these agreements, we may be required to pay damages, and the licensor or other party may have the right to terminate the agreement. Any termination of these agreements could result in the loss of significant rights and could harm our ability to develop or advance one of our cell engineering platforms, or develop, manufacture, or commercialize one of our product candidates. See the subsection titled “Business— Key Intellectual Property Agreements” in Part I, Item 1 of our Annual Report on Form 10-K for the year ended December 31, 2025, filed with the Securities and Exchange Commission on March 3, 2026 (2025 Annual Report) for additional information regarding these key agreements.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Licensing of intellectual property is of critical importance to our business, involves complex legal, business, and scientific issues, and is complicated by the rapid pace of scientific discovery in our industry. Disputes may arise between us and our licensors regarding intellectual property subject to a license agreement, including those relating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rights granted under the license agreement and other issues related to interpretation of the agreement, certain provisions of which may be susceptible to multiple interpretations;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and the extent to which our technology and processes infringe on intellectual property of the licensor that is not subject to the license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right to sublicense the patent and other rights granted to us under the license agreement to third parties as part of collaborative development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we are complying with our diligence obligations with respect to the use of the licensed intellectual property rights in relation to our development and commercialization of our product candidates, and what activities satisfy those diligence obligations;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priority of invention of patented technology;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 and timing of payments owed under license agreements;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allocation of ownership of inventions and know-how resulting from the joint creation or use of intellectual property by our licensors and by us and our partners.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resolution of any contract interpretation disagreement that may arise could change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Our business may also suffer if any current or future licensors fail to abide by the terms of the applicable agreement, if such licensors fail to enforce licensed patents against infringing third parties, if the licensed patents or other rights are found to be unpatentable, invalid, or unenforceable, or if we are unable to enter into or maintain necessary license agreements on acceptable terms or at all. If disputes over intellectual property that we have licensed prevent or impair our ability to maintain our current or future licensing arrangements on acceptable terms, we may be unable to successfully develop and commercialize the affected product candidates. We are generally also subject to all of the same risks with respect to protection of intellectual property that we license as we are for intellectual property that we own, which are described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although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 candidates that we successfully develop and commercialize, if any. Therefore, even if we successfully develop and commercialize any product candidates, we may be unable to achieve or sustain profitability.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successfully maintain the intellectual property rights we currently have pursuant to agreements with third parties, or those we may in-license or acquire in the future, we may have to abandon development of the relevant research programs or product candidates, which could harm our ability to commercialize our products, and our business, financial condition, results of operations, and prospects could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depend, in part, on our licensors to file, prosecute, maintain, defend, and enforce certain patents and patent applications that are material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patents relating to our product candidates are owned or controlled by certain of our licensors. Each of our licensors generally has rights to file, prosecute, maintain, and defend the patents we have licensed from such licensor in their name, generally with our right to comment on such filing, prosecution, maintenance, and defense, with some obligation for the licensor to consider or incorporate our comments, for our exclusively licensed patents. We generally have the first right to enforce our exclusively licensed patent rights against third parties, although our ability to settle such claims often requires the consent of the licensor. If our licensors, third parties from whom they license or have obtained the relevant patents, or any future licensees having rights to file, prosecute, maintain, and defend our patent rights fail, or have in the past failed, to properly and timely conduct these activities for patents or patent applications covering any of our product candidates, our ability to develop and commercialize those product candidates may be adversely affected and we may not be able to prevent competitors from making, using, or selling competing products. We cannot be certain that such activities have been or will be conducted in compliance with applicable laws and regulations or will result in valid and enforceable patents or other intellectual property rights. Pursuant to the terms of certain existing or future license agreements, the licensor may have the right to control enforcement of our licensed patents or defense of any claims asserting the invalidity of these patents and, even if we are permitted to pursue such enforcement or defense, we cannot ensure the cooperation of such licensor.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cause us to lose rights to intellectual property that we may need to operate our business or could cause us to lose the ability to exclude our competitors from using the intellectual property rights, which would harm our business. In addition, even when we have the right to control prosecution of licensed patents and patent applications, enforcement of licensed patents, or defense of claims asserting the invalidity of those patents, we may still be adversely affected or prejudiced by actions or inactions of our licensors and their counsel that took place prior to or after our assuming control. In the event we breach any of our contractual obligations to our licensors related to such prosecution, we may incur significant liability to our licensors.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successful in obtaining or maintaining necessary rights to product candidates and technologies or related components or processes, which may require us to operate our business in a more costly or otherwise adverse manner than we anticipated. We may not be successful in obtaining or maintaining</w:t>
      </w:r>
      <w:r>
        <w:rPr>
          <w:rFonts w:ascii="Times New Roman" w:hAnsi="Times New Roman"/>
          <w:color w:val="000000"/>
          <w:sz w:val="20"/>
        </w:rPr>
        <w:t xml:space="preserve"> </w:t>
      </w:r>
      <w:r>
        <w:rPr>
          <w:rFonts w:ascii="Times New Roman" w:hAnsi="Times New Roman"/>
          <w:b/>
          <w:i/>
          <w:color w:val="000000"/>
          <w:sz w:val="20"/>
        </w:rPr>
        <w:t>exclusive rights to owned and in-licensed patents or patent applications or future patents to the extent they are co-owned by us and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own or license from third parties certain intellectual property rights necessary to develop our product candidates. The growth of our business will likely depend in part on our ability to acquire or in-license additional proprietary rights, including to advance our research or allow commercialization of our product candidates. If we are unable to successfully obtain rights to required third-party intellectual property or to maintain the existing intellectual property rights we have, we may have to abandon development or delay commercialization of one or more product candidates and our business and financial condition could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obtain or maintain necessary third-party intellectual property rights, we may be required to expend considerable time and resources to develop or license replacement technology. For example, our programs may rely upon technologies or product candidates that require the use of additional proprietary rights held by third parties. Furthermore, other pharmaceutical companies and academic institutions may have filed or may plan to file patent applications potentially relevant to our business. In order to work effectively and efficiently, or for other reasons, our product candidates may also require specific formulations, reagents, materials, components, or other technology, which may be covered by intellectual property rights held by others. In order to avoid infringing third-party patents, we may be required to license technology from these third parties to further develop or commercialize our product candidates. We may be unable to acquire or in-license third-party intellectual property rights that we identify as necessary or important to our business operations, including composition, method of use, method of making, or other intellectual property rights required to make, use, or sell our product candidates. Such licenses or other rights may not be available at a reasonable cost or on reasonable terms, or at all. As a result, we may need to cease use of the compositions or methods covered by such third-party intellectual property rights and be unable to develop or commercialize the affected product candidates, which would harm our business. In addition, we may need to seek to develop alternative approaches that do not infringe on such intellectual property rights, which may entail additional costs and lead to delays in development. In certain cases, it may not be feasible for us to develop such alternatives, which would harm our ability to continue development of the affected product candidates. Even if we are able to obtain a license to such intellectual property rights, any such license may be non-exclusive, which may allow our competitors to access to the same technologies licensed to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we sometimes collaborate with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However, we may be unable to negotiate a license within the specified timeframe or under terms that are acceptable to us and the institution may license the intellectual property rights to other parties, potentially blocking our ability to pursue any of our programs to which such rights relate.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licensing and acquisition of third-party intellectual property rights is competitive, and other companies may also be pursuing strategies to license or acquire third-party intellectual property rights that we may consider necessary or attractive in order to commercialize our product candidates. More established companies or those with greater resources may have a competitive advantage over us, for example, due to their larger size or greater clinical development and commercialization capabilities. There can be no assurance that we will be able to successfully complete negotiations and ultimately license or acquire the intellectual property rights necessary or useful for the development and commercialization of our product candidates. Any delays in entering into, or inability to enter into, license or other agreements pursuant to which we obtain rights related to our product candidates could delay or halt the development and commercialization of our product candidates in certain geographies, which could harm our business prospects,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some of our current or future owned and in-licensed patents or patent applications are or may be co-owned with third parties. If we are unable to obtain an exclusive license to any such co-owner’s interest in such patents or patent applications, such co-owner may be able to license their rights to other third parties, including our competitors, enabling them to market competing products and technologies. In addition, such co-owner may not provide the cooperation necessary to enforce such patents against third parties. Furthermore, our owned and in-licensed patents may be subject to a reservation of rights by one or more third parties. Any of the foregoing could have a material adverse effect on our competitive position, business, financial conditions, results of operations, and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depend on intellectual property licensed or sublicensed to us from, or for which development was funded or otherwise assisted by, government agencies, such as the National Institutes of Health, for development of our technologies and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Government agencies have provided, and may in the future provide, funding, facilities, personnel, or other assistance in connection with the development of the intellectual property rights owned by or licensed to us. Such government agencies may have retained rights in such intellectual property, including the right to grant or require us to grant mandatory licenses or sublicenses to such intellectual property to third parties under specified circumstances, including if it is necessary to meet health and safety needs that we are not reasonably satisfying or if it is necessary to meet requirements for public use specified by federal regulations, or to manufacture products in the United States. Any exercise of such rights, including with respect to any such required sublicense, could result in our loss of significant rights and could harm our ability to commercialize or continue commercializing the relevant products. For example, at least one of our in-licensed patent cases related to each of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platforms has been funded at least in part by the United States government. As a result, these patent cases are subject to certain federal regulations pursuant to the Bayh-Dole Act of 1980 (Bayh-Dole Act). In particular, the federal government retains a “nonexclusive, nontransferable, irrevocable, paid-up license” for its own benefit to inventions produced with its financial assistance. The Bayh-Dole Act also provides federal agencies with “march-in rights,” which allow the government, in specified circumstances, to require the contractors or successors in title to the patent to grant a “nonexclusive, partially exclusive, or exclusive license” to a “responsible applicant or applicants.” If the patent owner refuses to do so, the government may grant the license itself. Intellectual property rights discovered under government-funded programs are also subject to certain reporting requirements, compliance with which may require us or our licensors to expend substantial resources, and failure to comply may lead to loss of rights. Such intellectual property is also subject to a preference for United States industry, which may limit our ability to contract with foreign product manufacturers for products covered by such intellectual property rights. Moreover, we cannot be sure that any intellectual property we may co-develop with academic institutions in connection with research or development activities will be free from government rights pursuant to the Bayh-Dole Act. If, in the future, we co-own or in-license technology that is critical to our business and is developed in whole or in part with federal funds subject to the Bayh-Dole Act, our ability to enforce or otherwise exploit patents covering such technology may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obtain and maintain sufficient intellectual property protection for our technologies and product candidates, or if the scope of the intellectual property protection is not sufficiently broad, our competitors could develop and commercialize products similar or identical to ours, and our ability to successfully commercialize our products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large part on our ability to obtain and maintain patent protection in the United States and other countries with respect to our technologies and product candidates. We seek to protect our proprietary position by filing patent applications in the United States and abroad related to our novel discoveries and technologies that are important to our business. We have filed numerous patent applications and anticipate that we will file additional patent applications both in the United States and in other countries, as appropriate. However, we cannot predict: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and when any patents will issue from our owned and in-licensed patent applications, and whether the claims of any such issued patent will cover our product candidates and technologies or uses thereof in the United States or in other foreign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and range of protection any issued patents will afford us against competitors, including whether third parties will find ways to invalidate or otherwise circumvent our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others will apply for or obtain patents claiming inventions similar to those covered by our patents and patent applications;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we will need to initiate litigation or administrative proceedings to defend our patent rights, which may be costly whether we win or lose.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Obtaining and enforcing patents is expensive and time-consuming, and we may not be able to file, and we and our licensors may not be able to prosecute, all necessary or desirable patent applications or maintain, defend, or enforce patents that may issue based on our patent applications at a reasonable cost or in a timely manner. It is also possible that we will fail to identify patentable aspects of our research and development results before it is too late to obtain patent protection or before another party files a patent application covering the relevant inventions. Although we enter into confidentiality agreements with parties that have access to patentable aspects of our research and development output, such as our employees, corporate collaborators, outside scientific collaborators, contract research organizations, contract manufacturers, consultants, advisors, and other third parties, any of these parties may breach these agreements and disclose such results before a patent application is filed, thereby jeopardizing our ability to obtain patent protection.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Composition of matter patents for biological products such as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product candidates often provide a strong form of intellectual property protection for those types of products, as such patents provide protection without regard to any method of use. We cannot be certain, however, that the claims in our pending patent applications covering the composition of matter of our product candidates will be considered patentable by the United States Patent and Trademark Office (USPTO) or by patent agencies in foreign countries, or that the claims in any of our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for an indication that is outside the scope of the patented method. Moreover, even if competitors do not actively promote their products for our targeted indications, physicians may prescribe these products “off-label” for those uses that are covered by our method of use patents. Although off-label prescriptions may infringe or contribute to the infringement of method of use patents, the practice is common and such infringement may be difficult to prevent or prosecute.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One aspect of the determination of patentability of inventions depends on the scope and content of the “prior art,” which is information that was or is deemed available to a person of skill in the relevant art prior to the priority date of the claimed invention. There may be prior art of which we are not aware that may affect the patentability of our inventions or, if issued, affect the validity or enforceability of a patent claim. Further, we may not be aware of all third-party intellectual property rights potentially relating to our product candidates or their intended uses, and as a result, the impact of such third-party intellectual property rights on the patentability of our own patents and patent applications, as well as upon our freedom to operate, is highly uncertain. Because patent applications in the United States and most other countries are typically confidential for a period of 18 months after filing, or may not be published at all, we cannot be certain that we were or will be the first to file any patent application related to our product candidates. As a result, the issuance, scope, validity, enforceability, and commercial value of our patent rights are highly uncertain. Furthermore, for United States patent applications in which all claims are entitled to a priority date before March 16, 2013, an interference proceeding can be instituted by a third party or the USPTO to determine who was the first to invent any of the subject matter covered by the relevant patent claims. For United States patent applications containing a claim not entitled to priority before March 16, 2013, there is a greater level of uncertainty in the patent law in view of the passage of the Leahy-Smith America Invents Act (the Leahy-Smith Act), which introduced significant changes to the United States patent laws, including new procedures for challenging pending patent applications and issued patents.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strength of patents in the biotechnology and pharmaceutical fields can be uncertain and evaluating the scope and validity of such patents involves complex legal, factual, and scientific analyses, which may vary based on the jurisdiction in which the analyses are performed. Patents have in recent years been the subject of much litigation in the United States and worldwide, resulting in court decisions, including United States Supreme Court decisions, that have increased uncertainty as to the patentability of certain inventions as well as the enforceability of patent rights in the future. The patent applications that we own or in-license may fail to result in issued patents with claims that cover our technologies or product candidates or uses thereof in the United States or foreign countries. Even if patents do successfully issue, third parties may challenge the patentability, validity, enforceability, or scope thereof, which may result in such patents being narrowed, invalidated, revoked, or held unenforceable. In the event of litigation or administrative proceedings involving our issued patents, we cannot be certain that the claims of any such patent will be considered patentable by administrative bodies or valid by courts in either the United States or foreign countries. Furthermore, even if they are unchallenged, our issued patents may not adequately cover our technologies or product candidates or prevent others from designing their products to avoid being covered by our patent claims. If the breadth or strength of protection provided by our patents is threatened, companies may be dissuaded from collaborating with us to develop, and could threaten our ability to successfully commercialize, our product candidates. In addition, the laws of foreign countries may not protect our rights to the same extent as the laws of the United States, or vice versa. Further, as patent rights are time limited, if we encounter delays in our clinical trials, the period of time during which we could market our product candidates under patent protection would be reduced.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identify relevant third-party patents or may incorrectly interpret the relevance, scope, or expiration of a third-party patent, which might adversely affect our ability to develop and market our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guarantee that any of our patent searches or analyses, including the identification of relevant patents, the scope or validity of patent claims, or the expiration of relevant patents, are complete or thorough, nor can we be certain that we have identified each and every third-party patent and pending application worldwide, including in the United States, that is relevant to or necessary for the commercialization of our product candidates in any jurisdiction. The scope of a patent’s claims is determined by an interpretation of the laws of the country in which the patent has been granted, the written disclosure in the patent, and the patent’s prosecution history. We may incorrectly interpret the relevance or scope of a patent or a pending application, determine that our products are not covered by a third-party patent, predict whether a third party’s pending application will issue with claims of relevant scope, or determine the expiration date of any patent worldwide, including in the United States, that we consider relevant. Any of the foregoing could negatively impact our ability to develop and market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i/>
          <w:color w:val="000000"/>
          <w:sz w:val="20"/>
        </w:rPr>
        <w:t>Intellectual property rights do not necessarily protect us from all potential threats to our competitive advantage.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protection afforded by our intellectual property rights is uncertain because intellectual property rights have limitations and may not adequately protect our business or enable us to maintain our competitive advantage.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develop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choose not to file a patent in order to maintain certain rights as trade secrets or know-how, and a third party may subsequently file a patent covering such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pending patent applications may not lead to issued patents for various reasons;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licensors or future collaborators may not have been the first to make the inventions covered by, or the first to file, certain issued patents or pending patent applications that we own or have exclusively licensed, which may jeopardize our or our licensors’ or future collaborators’ ability to obtain an issued patent or the validity of any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protection of any patent that may issue from our own or our in-licensed patent applications is unpredictable and may not cover our product candidates or uses thereof in the United States or in other foreign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claims of any patent that may issue based on our patent applications may not provide protection against competitors or any competitive advantages, or may be challenged by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develop product candidates or technologies that are similar to ours but that are not covered by the claims of the patents that we own or have exclusively licensed;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our technologies without infringing our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may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need to initiate litigation or administrative proceedings to enforce or defend our patent rights, which will be costly regardless of outcome;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patents that we own or have exclusively licensed may be revoked or held invalid, unpatentable, unenforceable, or not infringed, including as a result of efforts to enforce our patents and legal challenges;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fail to adequately protect and enforce our rights to our trade secrets and trademarks;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patent rights may have an adverse effect on our business, including if these rights claim subject matter similar to or improving upon that covered by our patents and patent applications.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Should any of these events occur, they could significantly harm our business,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Confidentiality agreements with employees and third parties may not prevent disclosure of trade secrets and other proprietary or confidential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protection afforded by patents, we rely on trade secret protection and confidentiality agreements to protect proprietary know-how that is not patentable or that we elect not to patent, subject matter for which patents are difficult to enforce, and other elements of our product candidates, technology, and product discovery and development processes that involve proprietary know-how, information, or technology that we do not cover through patent protection. Any disclosure, either intentional or unintentional, by our current or former employees, contractors, collaborators, or those of third parties, including those with whom we share our facilities and consultants and vendors that we engage to perform research, clinical trials, or manufacturing activities, or misappropriation (such as through a cybersecurity breach) of our trade secrets or proprietary or confidential information could enable competitors to duplicate or surpass our technological achievements, thus eroding our competitive position in our market. Because we rely and expect to continue to rely on third parties in the development and manufacture of our product candidates, we must, at times, share trade secrets with them, which increases the possibility that a competitor will discover them or that our trade secrets will be misappropriated or disclosed.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Trade secrets and confidential information, however, can be difficult to protect. We seek to protect our trade secrets, know-how, and confidential information, including our proprietary processes, in part, by entering into confidentiality agreements with our employees, consultants, outside scientific advisors, contractors, collaborators, and other third parties. We require our employees to enter into written employment agreements containing provisions of confidentiality and obligations to assign to us any inventions generated in the course of their employment. In addition, we enter into agreements with our consultants, contractors, service providers, and outside scientific collaborators that typically include invention assignment obligations. We cannot guarantee that we have entered into such agreements with each party that may have or has had access to our trade secrets or proprietary or confidential information, including our technology and processes. Although we use reasonable efforts to protect our trade secrets and confidential information, our employees, consultants, outside scientific advisors, contractors, collaborators, and other third parties might intentionally or inadvertently disclose such information to competitors or other third parties, including, as to consultants and advisors, to their primary employers, in breach of our agreements with such parties, and adequate remedies for such breaches may be unavailable. In addition, competitors may otherwise gain access to our trade secrets or independently develop substantially equivalent information and techniques. Further, we may be required to disclose trade secrets and other confidential information to governmental authorities, including in connection with regulatory filings related to our product candidates, and such authorities may make certain documentation or information contained therein available to the public. If we are unable or otherwise fail to take advantage of any opportunity to protect such trade secrets or other confidential information, our competitors could use such information to compete with us, which would significantly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Enforcing a claim that a party illegally disclosed or misappropriated a trade secret is difficult, expensive, and time-consuming, and the outcome is unpredictable. If any of our trade secrets were to be lawfully obtained or independently developed by a competitor or other third party, we would have no right to prevent them from using that technology or information to compete with us.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disclosure of our intellectual property, including confidential information, to third parties or misappropriation of our intellectual property by third parties, we will not be able to establish or maintain a competitive advantage in our market, which could materially adversely affect our business, operating results, and financial condition. </w:t>
      </w:r>
    </w:p>
    <w:p>
      <w:pPr>
        <w:pStyle w:val="TextBody"/>
        <w:bidi w:val="0"/>
        <w:spacing w:before="360" w:after="283"/>
        <w:jc w:val="left"/>
        <w:rPr>
          <w:rFonts w:ascii="Times New Roman" w:hAnsi="Times New Roman"/>
          <w:sz w:val="20"/>
        </w:rPr>
      </w:pPr>
      <w:r>
        <w:rPr>
          <w:rFonts w:ascii="Times New Roman" w:hAnsi="Times New Roman"/>
          <w:b/>
          <w:i/>
          <w:color w:val="000000"/>
          <w:sz w:val="20"/>
        </w:rPr>
        <w:t>Third-party claims of intellectual property infringement against us or our collaborators may prevent or delay our product discovery, development, or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commercial success depends in part on our avoiding infringement of the patents and proprietary rights of third parties. We cannot be certain that our platform technologies, product candidates, and other proprietary technologies we may develop will not infringe existing or future patents owned by third parties. The legal and administrative landscape related to infringement of the patents and proprietary rights of third parties is fluid as there is a substantial amount of litigation involving patents and other intellectual property rights in the biotechnology and pharmaceutical industries, as well as administrative proceedings for challenging patents. These include interference, derivation, </w:t>
      </w:r>
      <w:r>
        <w:rPr>
          <w:rFonts w:ascii="Times New Roman" w:hAnsi="Times New Roman"/>
          <w:i/>
          <w:color w:val="000000"/>
          <w:sz w:val="20"/>
        </w:rPr>
        <w:t>inter partes</w:t>
      </w:r>
      <w:r>
        <w:rPr>
          <w:rFonts w:ascii="Times New Roman" w:hAnsi="Times New Roman"/>
          <w:color w:val="000000"/>
          <w:sz w:val="20"/>
        </w:rPr>
        <w:t xml:space="preserve"> review, post-grant review, and reexamination proceedings before the USPTO or oppositions and other comparable proceedings in foreign jurisdictions. Litigation and other legal proceedings relating to intellectual property claims, with or without merit, are unpredictable and generally expensive and time-consuming and, even if resolved in our favor, are likely to divert significant resources from our core business and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enter into or compete in the marketplace. Furthermore, patent reform and changes to patent laws add uncertainty to the possibility of challenge to our patents in the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Numerous issued patents and pending patent applications owned by third parties may exist worldwide in the fields in which we are developing our platform technologies and product candidates. We cannot provide any assurances that third-party patent rights that might be enforced against the making, use, or sale of our current product candidates or future products do not exist, which, if they did exist, would result in either an injunction prohibiting our sales, or an obligation to pay royalties on product sales or other forms of compensation to third parties. As the biotechnology and pharmaceutical industries expand and more patents are issued, the risk increases that our product candidates will be subject to claims of infringement of the patent rights of others. Third parties may assert that we infringe their patents or other intellectual property, or that we are otherwise employing their proprietary technology without authorization, and may sue us. There may be third-party patent filings of which we are currently unaware with claims, including claims to compositions, formulations, methods of manufacture, or methods of use or treatment, that cover our product candidates. It is also possible that patent filings owned by third parties of which we are aware, but which we do not believe are relevant to our platform technologies, product candidates, or other proprietary technologies we may develop, could be found to be infringed by our product candidates. Because patent applications can take many years to issue, there may be pending patent applications, including those of which we are unaware, that may later result in issued patents that our product candidates may infringe. In addition, third parties, including our competitors in both the United States and abroad, many of which have substantially greater resources than we do and have made substantial investments in patent portfolios and competing technologies, may obtain patents in the future that prevent, limit, or otherwise interfere with our ability to make, use, and sell our product candidates, and may claim that use of our technologies or the manufacture, use, or sale of our product candidates infringes upon these patents. If any such third-party patents were held by a court of competent jurisdiction to cover our technologies or product candidates, or if we are found to otherwise infringe a third party’s intellectual property rights, the holders of any such patents may be able to block, including by court order, our ability to develop, manufacture, use, sell, or commercialize the applicable product candidate unless we obtain a license under the applicable patents or other intellectual property, or until such patents expire or are finally determined to be held unpatentable, invalid, or unenforceable. Such a license may not be available on commercially reasonable terms or may not be available at all. Even if we were able to obtain a license, it could be non-exclusive, thereby giving our competitors access to the same technologies licensed to us. If we are unable to obtain a necessary license to a third-party patent on commercially reasonable terms, our ability to commercialize our product candidates may be impaired or delayed, which could significantly harm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pharmaceutical and biotechnology industries have produced a considerable number of patents, and it may not always be clear to industry participants, including us, which patents cover the making, use, or sale of various types of products or methods of use. The scope of patent coverage is subject to interpretation by both administrative bodies and the courts, and the interpretation is not always predictable or uniform. If we were sued for patent infringement, we would need to demonstrate that the making, use, or sale of our product candidates, products, or methods either do not infringe the patent claims of the relevant patent or that the patent claims are invalid or unenforceable, which we may not be able to do. Proving invalidity may be difficult. For example, in the United States, proving invalidity in court requires a showing of clear and convincing evidence to overcome the presumption of validity enjoyed by issued patents, and there is no assurance that a court would invalidate the claims of any such patent. Third parties asserting their patent or other intellectual property rights, such as confidential information or trade secrets, against us may also seek and obtain injunctive or other equitable relief, which could effectively block our ability to further develop and commercialize our product candidates or force us to cease some of our business operations. We may not have sufficient resources to bring any of these actions to a successful conclusion. Defense against any of these claims, regardless of their merit and whether we are successful or not, would require us to incur substantial costs and could divert management and other employee resources from our business, cause development delays, and impact our reputation, which could have a material adverse effect on our business and operations.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to do on a cost-effective basis or require substantial time and monetary expenditure. In that event, we would be unable to further develop and commercialize our product candidates, which could harm our business significantly.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issued patents and patent applications could be found unpatentable, invalid, or unenforceable if challenged in courts or before an administrative body, and we may be involved in lawsuits to protect or enforce our or our licensors’ patents or other intellectual property. Our participation in any such action could be expensive, time-consuming, and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issued patents or pending patent applications may be challenged in the courts or patent offices in the United States and abroad. For example, our patent applications may be subject to a third-party pre-issuance submission of prior art to the USPTO, or we may become involved in post-grant review proceedings, opposition or derivation proceedings, reexaminations, or </w:t>
      </w:r>
      <w:r>
        <w:rPr>
          <w:rFonts w:ascii="Times New Roman" w:hAnsi="Times New Roman"/>
          <w:i/>
          <w:color w:val="000000"/>
          <w:sz w:val="20"/>
        </w:rPr>
        <w:t>inter partes</w:t>
      </w:r>
      <w:r>
        <w:rPr>
          <w:rFonts w:ascii="Times New Roman" w:hAnsi="Times New Roman"/>
          <w:color w:val="000000"/>
          <w:sz w:val="20"/>
        </w:rPr>
        <w:t xml:space="preserve"> review proceedings, in the United States or elsewhere, challenging our patent rights or the patent rights of others. In addition, interference or derivation proceedings provoked by third parties or brought by the USPTO may be necessary to determine the priority of inventions or the correct inventorship of the inventions claimed in our patents or patent applications or those of our licensors. An unfavorable outcome could result in a loss of our current patent rights and could require us to cease using the related technology or to attempt to license rights from the prevailing party. Our business could be harmed if the prevailing party does not offer us a license on commercially reasonable terms. An adverse determination in any such proceeding may result in loss of exclusivity or in our patent claims being narrowed, invalidated, held unpatentable, or held unenforceable, in whole or in part, which could limit our ability to exclude others from using or commercializing similar or identical technology and products, or limit the duration of the patent protection of, or otherwise no longer protect, our technology and products.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addition, competitors may infringe our or our licensors’ issued patents or other intellectual property. To cease such infringement or unauthorized use, we may be required to initiate patent infringement litigation, which can be expensive and time-consuming and could divert the time and attention of our management and personnel. In such litigation, the defendant could counterclaim that we infringe their patents or that the patent covering our product candidate is invalid, unenforceable, or both. In patent litigation in the United States and abroad, these types of counterclaims are commonplace, and there are numerous grounds upon which a third party can assert invalidity or unenforceability of a patent, including lack of novelty, obviousness, non-enablement, or insufficient written description, or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using post-grant proceedings such as re-examination, </w:t>
      </w:r>
      <w:r>
        <w:rPr>
          <w:rFonts w:ascii="Times New Roman" w:hAnsi="Times New Roman"/>
          <w:i/>
          <w:color w:val="000000"/>
          <w:sz w:val="20"/>
        </w:rPr>
        <w:t>inter partes</w:t>
      </w:r>
      <w:r>
        <w:rPr>
          <w:rFonts w:ascii="Times New Roman" w:hAnsi="Times New Roman"/>
          <w:color w:val="000000"/>
          <w:sz w:val="20"/>
        </w:rPr>
        <w:t xml:space="preserve"> review, post-grant review, opposition, or derivation proceedings.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outcome following legal assertions of unpatentability, invalidity, or unenforceability is unpredictable. In an administrative proceeding, the administrative body may decide that a patent is unpatentable or will be revoked, in whole or in part. In any patent infringement proceeding or declaratory judgment action, a court may decide that our or a licensor’s patent is invalid or unenforceable, in whole or in part. In the event of either decision, we would no longer have the right to stop another party from using the invention covered by the relevant patent. There is also a risk that, even if the validity of such a patent is upheld, the court or administrative body will construe the patent’s claims narrowly or decide that we do not have the right to stop the other party from using the invention at issue on the grounds that our patent claims do not cover the invention. The court could also decide that the other party’s use of our patented technology falls under the safe harbor to patent infringement under 35 U.S.C. §271(e)(1). With respect to the validity and patentability of our patents, for example, we cannot be certain that there is no invalidating prior art of which we, our patent counsel, and the patent offices were unaware during prosecution. If a third party were to prevail on a legal assertion of invalidity or unenforceability, we would lose at least part, and perhaps all, of the patent protection for the relevant product candidate, which could limit our ability to assert our patents against that third party and other competitors and prevent us from excluding third parties from making, using, or selling similar or competitive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establish infringement of our or our licensors’ intellectual property, the remedies may be insufficient. For example,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in the course of litigation. In addition, there could be public announcements of the results of hearings, motions, or other interim proceedings or developments. If securities analysts or investors perceive these results to be negative, the price of our common stock could be substantially adversely affected. Litigation, interference, derivation, or other proceedings involving our or our licensors’ intellectual property may result in a decision adverse to our interests and, even if we are successful, may result in substantial costs and distract our management and other employees. Any failure to obtain or maintain patent protection with respect to our product candidates and other technologies, including as a result of such proceedings, could have a material adverse effect on our business, financial condition, results of operations, and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i/>
          <w:color w:val="000000"/>
          <w:sz w:val="20"/>
        </w:rPr>
        <w:t>The terms of our patents may not be sufficient to effectively protect our products and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have limited terms, and in many jurisdictions worldwide, including the United States, if all maintenance fees are timely paid, the natural expiration of a patent’s term is generally 20 years after its first effective non-provisional filing date. Although various extensions may be available, the term of a patent, and the protection it affords, is limited. Given the significant amount of time required for the development, testing, and regulatory review of new product candidates, patents protecting such product candidates might expire before or shortly after such product candidates are commercialized. Further, any delays in our clinical trials could reduce the period of time during which we could market our product candidates under patent protection. Even if patents covering our product candidates are obtained, once the patent life has expired for a product, we may be open to competition from biosimilar or generic therapies. As a result, our patent portfolio may not provide us with sufficient rights to exclude others from commercializing product candidates similar or identical to ours. Our patents issued as of October 2026 have terms expected to expire on dates ranging from 2029 to 2042, subject to any patent term extensions that may be available. If patents are issued on our patent applications pending as of October 2026, the resulting patents are projected to expire on dates ranging from 2033 to 2047. In addition, although upon issuance in the United States a patent’s term can be increased based on certain delays caused by the USPTO, this increase can be reduced or eliminated based on certain delays caused by the patent applicant during patent prosecution or by failing to timely file a request for patent term adjustment (PTA). A patent term extension based on regulatory delay may also be available in the United States and in certain other foreign jurisdictions. However, in the United States, only a single patent can be extended for each marketing approval, and any patent can be extended only once, for a single product. Moreover, the scope of protection during the period of the patent term extension in the United States does not extend to the full scope of the patent’s claims, but instead only as to the scope of the product as approved. The laws governing analogous patent term extensions in foreign jurisdictions vary widely and many differ from the process in the United States. Additionally, we may not receive a patent term extension if we fail to exercise due diligence during the testing phase or regulatory review process, fail to apply within applicable deadlines, fail to apply prior to expiration of relevant patents, or otherwise fail to satisfy applicable requirements. If we are unable to obtain a patent term extension for any particular patent, or the term of any such extension is less than we request, the period during which we will have the right to exclude others from using the patent rights will be shortened. Our competitors may be able to obtain approval of competing products following our patent expiration and take advantage of our investment in development and clinical trials by referencing our clinical and preclinical data to launch a biosimilar product earlier than might otherwise be the case, which could reduce our revenue, possibly materially. In general, if we do not have sufficient patent term to protect our technologies and product candidates, our business and results of operations will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Third parties may challenge the inventorship or ownership of or otherwise assert rights in our patent and other intellectual property rights.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claims that former employees, collaborators, or other third parties have an ownership interest in our patents or other intellectual property, including as a result of being an inventor or co-inventor. In the United States, the failure to name the proper inventors on a granted patent can result in the patent being unenforceable. Inventorship disputes may arise from conflicting views regarding the contributions made to an invention by the individuals named as inventors, the effects of foreign laws where foreign nationals are involved in the development of the subject matter of the patent, conflicting obligations of third parties involved in developing our product candidates, or questions regarding co-ownership of potential joint inventions. For example, inventorship disputes may arise from conflicting obligations of consultants or others who are involved in developing our technologies or product candidates or related intellectual property. Alternatively, or additionally, we may enter into agreements to clarify the scope of our rights in such intellectual property. Litigation may be necessary to defend against claims challenging or relating to inventorship and ownership of intellectual property rights. Our failure to successfully defend against such claims could result in our obligation to pay monetary damages and loss of valuable intellectual property rights, such as exclusive ownership of, or the right to use, such intellectual property, which could have a material adverse effect on our business. Even if we are successful in defending against such claims, litigation could result in substantial costs and distract management and other employees.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or our licensors may have relied on third-party consultants or collaborators or on funds from third parties, such as the United States government, such that we or our licensors are not the sole and exclusive owners of the patents that we own or that we have in-licensed. If third parties have ownership or other rights to our patents, including in-licensed patents, they may be able to license such patents to our competitors, enabling such competitors to make, use, or sell competing products and technology. This could have a material adverse effect on our competitive position, business, financial conditions, results of operations, and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although it is our policy to require our employees, contractors and other third parties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As described elsewhere in these Risk Factors, such claims could be expensive and time-consuming to litigate or defend and could divert the time and attention of our management and other personnel, and we may ultimately be unsuccessful in such efforts, which could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claims that our employees, consultants, or independent contractors have wrongfully used or disclosed confidential information of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received confidential and proprietary information from third parties. In addition, we employ and engage individuals who were previously employed by or have otherwise provided services for other organizations, including at other biotechnology or pharmaceutical companies or at academic institutions. We may be subject to claims that we or our employees, consultants, or independent contractors have inadvertently or otherwise improperly used or disclosed confidential information of these third parties or organizations. Litigation may be necessary to defend against these claims. Even if we are successful in defending against these claims, litigation could cause us to incur substantial costs and distract our management and employees. If our defenses to these claims fail, in addition to requiring us to pay monetary damages, a court could prohibit us from using technologies or features that are essential to our product candidates, if such technologies or features are found to incorporate or be derived from the trade secrets or other proprietary information of these third parties or organizations. Moreover, any such litigation or the threat thereof may adversely affect our reputation and our ability to form strategic alliances or sublicense our rights to collaborators, engage with scientific advisors, or hire employees or consultants, each of which would have an adverse effect on our business, results of operations, and financial condition. </w:t>
      </w:r>
    </w:p>
    <w:p>
      <w:pPr>
        <w:pStyle w:val="TextBody"/>
        <w:bidi w:val="0"/>
        <w:spacing w:before="360" w:after="283"/>
        <w:jc w:val="left"/>
        <w:rPr>
          <w:rFonts w:ascii="Times New Roman" w:hAnsi="Times New Roman"/>
          <w:sz w:val="20"/>
        </w:rPr>
      </w:pPr>
      <w:r>
        <w:rPr>
          <w:rFonts w:ascii="Times New Roman" w:hAnsi="Times New Roman"/>
          <w:b/>
          <w:i/>
          <w:color w:val="000000"/>
          <w:sz w:val="20"/>
        </w:rPr>
        <w:t>Our internal computer systems, or those used by third parties involved in our operations, such as research institution collaborators, CROs, CDMOs, and other service providers, contractors, or consultants, may fail or suffer security breaches or incidents.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third parties involved in our operations are increasingly dependent upon information technology systems, infrastructure, and data to operate our business. In the ordinary course of business, we currently and will continue to collect, store, and transmit confidential and proprietary information (including trade secrets or other intellectual property, proprietary business information, including data from our research, preclinical studies, and clinical trials, and personal information). It is critical that we and these third parties do so in a secure manner to maintain the confidentiality, integrity, and availability of such information. For example, we have outsourced elements of our operations to third parties, and as a result we manage a number of third-party vendors that have access to such information, including those that provide information technology and data security systems and services, and we do not have operational control over these third-party vendors. In addition, we currently and may in the future share or exchange confidential or proprietary information with other third parties, such as collaborators, licensors, or strategic partners, none of which we have control over and all of which are subject to security risks similar to those we face. As such, we are subject to risks not only from security incidents involving our own systems and networks, but also those of third parties with whom we work.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Despite the implementation of security measures (including edge technology designed to identify and protect our network from infiltration by third-party systems), our internal computer systems and those of any third parties involved in our operations, including our third-party research institution collaborators, CROs, CDMOs, and other service providers, contractors, and consultants, including vendors of information technology and data security systems and services, are vulnerable to damage and interruptions from cyberattacks, security breaches and incidents, computer viruses, ransomware, fraud, and other compromises and incidents involving or leading to unauthorized access to or loss, modification, unavailability, use, disclosure, or other processing of confidential or proprietary information. This risk may be exacerbated by the availability and continued development and evolution of artificial intelligence and machine learning technologies (AI Technologies), which may enable threat actors to use more sophisticated means to damage or interrupt our systems or those of third parties. Further, use of AI Technologies may have unintended consequences, and it is not possible to predict all of the risks related to use of AI Technologies, whether by us or third parties, and how they may impact our business. In addition, certain systems or components thereof require enhanced or otherwise different security measures, which may require us to invest additional resources and may leave such systems more vulnerable to security compromises or incidents. These compromises and incidents may involve acts by current or former employees, service providers (including providers of information technology-specific services), nation states (including groups associated with or supported by foreign intelligence agencies), organized crime organizations, “hacktivists,” or others. For example, SolarWinds Corporation (SolarWinds), a provider of information technology monitoring and management products and services that we used, experienced a cyberattack in 2020 that was likely the result of a supply chain attack by an outside nation state. We took steps to mitigate the vulnerabilities identified within these products and, following our investigations, concluded that our confidential information was not materially accessed, lost, or stolen as a result of this cyberattack. However, there may be unknown effects from this or other cyberattacks that have occurred or may occur in the future, any of which could have a material negative impact on our business. In addition, in certain cases, we may rely on or incorporate third-party software, code, or other similar materials into our systems, processes, and operations, such as in the case of internal software development, which exposes us to various risks, including that such third-party materials may have harmful components that could enable access and harm to our systems and confidential information. If we are unable to or otherwise do not detect these harmful components, or are unable to manage their effects, our business could be significantly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geo-political climate, tensions between the United States and certain countries, including Russia and China, and other geo-political events may increase our vulnerability to such cybersecurity attacks. For example, the conflict between Russia and Ukraine may create heightened threats of ransomware attacks and other cybersecurity threats for certain industries, including healthcare and pharmaceuticals. We continue to monitor and take steps to mitigate this risk, but we cannot ensure that such efforts will be sufficient to protect us from any such cyberattacks or other incidents. In addition, in July 2022, the heads of the FBI and MI5 issued joint warnings regarding the threat posed by China to national security due to the Chinese government’s increasing use of cyber espionage to steal technology from Western corporations and disrupt Western business. Moreover, the biotechnology industry is one of the top industries that China has targeted for domestic growth and development, and it therefore may be a primary target for such cyber espionage efforts. We continue to monitor our systems and upgrade our security capabilities in order to mitigate risk. However, any access to or loss or theft of our confidential information in connection with a future cyberattack could have a material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security of our network, systems, and information, including data, may also be subject to threats involving misuse by our current or former employees or third parties involved in our operations, including service providers, contractors, vendors, or partners, whether intentional or unintentional. For example, we are subject to the risk that employees may inadvertently share confidential information with unintended third parties, or that departing employees may take, or create their own information based on, our confidential information upon leaving the company. In addition, any such insiders may be the victims of social engineering attacks that enable unauthorized third parties to access our network, systems, and information using an authorized person’s credentials, and such attacks may be more likely to succeed or cause more significant harm when conducted using AI Technologies, including those that can identify and exploit security vulnerabilities. We and our network, systems, and information are also vulnerable to malicious acts by insiders, including leaking, modifying, or deleting confidential information, or performing other acts that could materially interfere with our operations and business. Although we provide regular training to our employees regarding cybersecurity threats and best practices, we cannot ensure that such training or other efforts will prevent unauthorized access to or sabotage of our network, systems, and information.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have not, to our knowledge, experienced any material system failure, accident, or security breach to date, because techniques used to obtain unauthorized access to or to sabotage systems are constantly evolving and generally are not recognized until they are launched against a target, we cannot be sure that our current practices, including our security and data protection efforts and investment in information security and technology, will detect or prevent future significant breakdowns, data leakages, breaches in our systems or the systems of third parties involved in our operations, such as service providers, contractors, and collaborators, or other compromises or incidents that could have a material adverse effect upon our reputation, business, operations, or financial condition. Any such event could materially disrupt our operations and programs, delay or otherwise negatively impact the development of our product candidates, and significantly harm our business. To the extent such an event leads to unauthorized access to or loss, modification, unavailability, use, disclosure, or other processing of personal information, including personal information regarding our clinical trial subjects or employees, or any reporting or belief such an event or impact has occurred, this could delay further development and commercialization of our product candidates, harm our reputation directly, require us to comply with federal or state breach notification laws and foreign law equivalents, subject us to mandatory corrective action, and otherwise subject us to liability under laws and regulations that protect the privacy and security of personal information. As a result, we could incur significant legal and financial exposure and reputational harm that could have a material adverse effect on our business. In any case, if we experience a cyberattack or security breach or incident, we could incur significant costs to remedy the resulting damage, including costs to deploy additional personnel and security and protection technologies, train employees, and engage third-party experts and consultants. We and the third parties involved in our operations may face difficulties and delays in identifying, responding to, and remediating security breaches and incidents, and we may find it necessary or appropriate to put in place additional measures designed to identify, protect against, and otherwise address cyberattacks and security breaches and incidents. Although we maintain cyber liability insurance, we cannot be certain that our coverage will be adequate for liabilities actually incurred or that insurance will continue to be available to us on commercially reasonable terms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have entered into and expect to continue to enter into agreements, such as collaboration, license, contract research, manufacturing, clinical trial, and other services agreements, with organizations that operate in certain countries that are at heightened risk of technology, data, and intellectual property theft through direct intrusion by private parties or foreign actors, including those affiliated with or controlled by state actors. If any theft or intrusion affects our technology, data, or intellectual property, the value of such technology, data, or intellectual property to our company may be diminished and our competitive position could be harmed. In such a case, our efforts to protect and enforce our intellectual property rights around the world may be inadequate to obtain a significant commercial advantage from such intellectual property, and we may be at heightened risk of losing our proprietary intellectual property rights around the world, including outside of such countries, to the extent such theft or intrusion destroys the proprietary nature of our intellectual property.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Artificial intelligence and machine learning technologies continue to expand and evolve. If we fail or are unable to take advantage of such technologies or to properly use such technologies, our business and competitive advantage could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personnel, and those of any third parties involved in our operations, including vendors, service providers, collaborators, contractors, and consultants, may develop and use AI Technologies in the course of performing work for us, including generative artificial intelligence technologies (GenAI) that have the ability to output new content and information based on user inputs. GenAI has the potential to benefit our business and operations, possibly significantly, including by potentially creating efficiencies and enabling powerful research and development that may otherwise not be possible, and we may be at a competitive disadvantage if we do not or are unable to use GenAI, or only use it for limited purposes. However, use of GenAI in connection with our confidential, proprietary, or otherwise sensitive information, including personal data, may result in leaks, disclosure, or otherwise unauthorized or unintended access to or use or other processing of such information, including incorporation of such information into the applicable GenAI system or use of such information to further refine and train the GenAI models. Any such access or use, or any improper or inappropriate use, of GenAI could, for example, reveal trade secrets or other confidential information that may enable third parties to replicate or improve upon our technologies and programs, advance their technologies or programs more rapidly than we do, or otherwise negatively impact the value of, or our ability to obtain or maintain, intellectual property rights. Access to and use and other processing of personal data may subject us to risks and potential liability and obligations under applicable data privacy laws, as described elsewhere in these Risk Factors. Although we implement measures designed to prevent the occurrence of such events, such as through policies and employee training, we cannot ensure that such measures will be successful.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sz w:val="20"/>
        </w:rPr>
      </w:pPr>
      <w:r>
        <w:rPr>
          <w:rFonts w:ascii="Times New Roman" w:hAnsi="Times New Roman"/>
          <w:color w:val="000000"/>
          <w:sz w:val="20"/>
        </w:rPr>
        <w:t>Further, we may use the output of GenAI in our technologies, programs, and other aspects of our business, and such output could incorporate third-party intellectual property, or we may otherwise be unable to own, protect, further develop, or ultimately use such output, which could significantly harm our business to the extent such technologies, programs, or other aspects of our business rely upon such output. Such output may also be false, non-sensical, biased, or otherwise harmful to our operations and business if incorporated therein. Further, our ability to use GenAI or further develop or use its output may depend on access to specific third-party software and infrastructure, such as processing hardware or third-party artificial intelligence models, and we cannot control the availability or pricing of such software and infrastructure, especially in a highly competitive environment. We may also face novel and urgent cybersecurity risks and emerging operational, ethical, and societal risks relating to the use of GenAI and other AI Technologies, including with respect to fairness and potential bias, which could adversely affect our operations, assets, including intellectual property and data, and reputation, as well as those of any third parties involved in our operations. There is significant uncertainty with respect to the nature of the laws and regulations that have been and may in the future be adopted, including how such laws and regulations will be interpreted and applied, both within and outside of the United States, with respect to the use of AI Technologies in general, and GenAI in particular, including the ownership of or right to use the output of GenAI. We may need to expend significant resources to modify and maintain our business practices in our efforts to comply with such laws and regulations and to otherwise ensure appropriate and lawful use of AI Technologies, including GenAI and its output, in our technologies, programs, and other aspects of our business. Third parties involved in our operations may face similar challenges, and we and such third parties may be unable to meet evolving legal and regulatory requirements regarding the use of AI Technologies, including GenAI, which could subject us to additional costs and expenses, litigation, regulatory scrutiny, actions, and investigations, reputational damage, and other negative consequences</w:t>
      </w:r>
      <w:r>
        <w:rPr>
          <w:rFonts w:ascii="Times New Roman" w:hAnsi="Times New Roman"/>
          <w:b/>
          <w:i/>
          <w:color w:val="000000"/>
          <w:sz w:val="20"/>
        </w:rPr>
        <w:t>.</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and in the future will need to maintain and protect our trademarks and trade names to ensure, among other things, name recognition by potential partners and, if our products receive regulatory approval, customers in our markets of interest. We may not be able to protect our rights in our current or future trademarks and trade names or may be forced to stop using these trademarks or trade names, including as a result of such trademarks and trade names being challenged, infringed, circumvented, or declared generic or descriptive, or being determined to infringe on other marks. In any such case, we may no longer be able to enforce or use our rights in these trademarks and trade names. During trademark registration proceedings, our applications may be rejected by the USPTO or comparable foreign agencies. Although we would be given an opportunity to respond to those rejections, we may be unable to overcome such rejections. In addition, in the USPTO and in many comparable foreign agencies,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 We may license our trademarks and trade names to collaborators or to third parties, such as distributors. Though these license agreements may provide guidelines for how our trademarks and trade names may be used, a breach of these guidelines or misuse of our trademarks and trade names by our licensees may jeopardize our rights in or diminish the goodwill associated with our trademarks and trade names.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any name we may propose to use as a trade name for any of our product candidates in the United States must be approved by the FDA, regardless of whether we have applied to register it as a trademark. Similar requirements exist in Europe. The FDA typically conducts a review of proposed product names, including an evaluation of potential for confusion with other product names. If the FDA or a comparable foreign regulatory authority objects to any of our proposed proprietary product names, we may be required to expend significant additional resources in an effort to identify a suitable substitute name that would be registerable under applicable trademark laws, not infringe the existing rights of third parties, and be acceptable to the FDA or comparable foreign regulatory authority. Furthermore, in many countries, owning and maintaining a trademark registration may not provide an adequate defense against a subsequent infringement claim asserted by the owner of a senior trademark. At times, competitors or other third parties may adopt trademarks or trade names similar to ours, thereby impeding our ability to build brand identity and possibly leading to market confusion. In addition, there could be potential trademark or trade name infringement claims brought against us by owners of other registered trademarks or trademarks that incorporate variations of our registered or unregistered trademarks or trade names. If we assert trademark infringement claims against third parties, a court may determine that the marks we have asserted are invalid or unenforceable, or that the party against whom we have asserted trademark infringement has superior rights to the marks in question. In this case, we could ultimately be forced to cease use of such trademarks.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United States and foreign patent law could diminish the value of patents in general, thereby impairing our ability to protect our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is the case with other biopharmaceutical companies, our success is heavily dependent on intellectual property, and patent rights in particular. Obtaining and enforcing patents in the biopharmaceutical industry involves both technological and legal complexity and is therefore costly, time-consuming, and inherently uncertain. Changes in either the patent laws or related regulations, or interpretation of such laws or regulations, could increase the uncertainties and costs associated with protection of, and may diminish our ability to protect, our inventions and our ability to obtain, maintain, and enforce our intellectual property rights and, more generally, could adversely affect the value of our intellectual property or narrow the scope of or invalidate our owned and licensed patents. Patent reform legislation in the United States and other countries, including the Leahy-Smith Act signed into law on September 16, 2011, and the implementation thereof could increase uncertainties and costs surrounding the prosecution of our patent applications and the enforcement or defense of our issued patents. The Leahy-Smith Act introduced a number of significant changes to United States patent law. These include provisions that affect the way patent applications are prosecuted, redefine prior art, and provide more efficient and cost-effective avenues for competitors to challenge patents. These include allowing third-party submission of prior art to the USPTO during patent prosecution and additional procedures to attack patents by USPTO-administered post-grant proceedings, including post-grant review, </w:t>
      </w:r>
      <w:r>
        <w:rPr>
          <w:rFonts w:ascii="Times New Roman" w:hAnsi="Times New Roman"/>
          <w:i/>
          <w:color w:val="000000"/>
          <w:sz w:val="20"/>
        </w:rPr>
        <w:t>inter partes</w:t>
      </w:r>
      <w:r>
        <w:rPr>
          <w:rFonts w:ascii="Times New Roman" w:hAnsi="Times New Roman"/>
          <w:color w:val="000000"/>
          <w:sz w:val="20"/>
        </w:rPr>
        <w:t xml:space="preserve"> review, and derivation proceedings. In addition, under the Leahy-Smith Act, the United States transitioned to a first inventor to file system for filings made after March 2013, under which, assuming that the other statutory requirements are met, the first inventor to file a patent application will be entitled to the patent on an invention regardless of whether a third party was the first to invent the claimed invention. A third party that files a patent application in the USPTO after March 2013, but before we file an application covering the same invention, could therefore be awarded a patent covering an invention of ours even if we had made the invention before it was made by such third party. As a result, we must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platform technologies, product candidates, and other proprietary technologies we may develop or (ii) invent any of the inventions claimed in our or our licensors’ patents or patent applications. Even where we have a valid and enforceable patent, we may not be able to exclude others from practicing the claimed invention if the other party can show that they used the invention in commerce before our filing date or the other party benefits from a compulsory license. Any of the foregoing could have a material adverse effect on our business, financial condition,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 2012, the EU Patent Package regulations were passed with the goal of providing a single pan-European Unitary Patent and a new European Unified Patent Court (UPC) for litigation involving European patents. The EU Patent Package was implemented on June 1, 2023. As a result, all European patents, including those issued prior to ratification of the European Patent Package, now by default automatically fall under the jurisdiction of the UPC. The UPC provides third parties, including our competitors, with a new forum to seek to centrally revoke our European patents and to seek to obtain pan-European injunctions. It will be several years before we will understand the scope of patent rights that will be recognized and the strength of patent remedies that will be provided by the UPC. Under the current EU Patent Package, we have the right to opt our patents out of the UPC for the first seven years of the UPC’s existence, but doing so may preclude us from realizing the benefits of this new unified court.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Furthermore, the patent position of companies in the biopharmaceutical industry is particularly uncertain. Various courts, including the United States Supreme Court, have rendered decisions that could negatively affect the actual or perceived value of patents, such as recent federal district and appellate court rulings that have narrowed the scope of patent protection available in certain circumstances, weakened the rights of patent owners in certain situations, and in certain cases invalidated patents entirely. For example, in its 2023 decision in </w:t>
      </w:r>
      <w:r>
        <w:rPr>
          <w:rFonts w:ascii="Times New Roman" w:hAnsi="Times New Roman"/>
          <w:i/>
          <w:color w:val="000000"/>
          <w:sz w:val="20"/>
        </w:rPr>
        <w:t>Amgen v. Sanofi</w:t>
      </w:r>
      <w:r>
        <w:rPr>
          <w:rFonts w:ascii="Times New Roman" w:hAnsi="Times New Roman"/>
          <w:color w:val="000000"/>
          <w:sz w:val="20"/>
        </w:rPr>
        <w:t xml:space="preserve">, the United States Supreme Court held that a functionally-claimed genus was invalid for failing to comply with the enablement requirement of the Patent Act. In addition, the Federal Circuit’s 2023 decision in </w:t>
      </w:r>
      <w:r>
        <w:rPr>
          <w:rFonts w:ascii="Times New Roman" w:hAnsi="Times New Roman"/>
          <w:i/>
          <w:color w:val="000000"/>
          <w:sz w:val="20"/>
        </w:rPr>
        <w:t>In re: Cellect, LLC</w:t>
      </w:r>
      <w:r>
        <w:rPr>
          <w:rFonts w:ascii="Times New Roman" w:hAnsi="Times New Roman"/>
          <w:color w:val="000000"/>
          <w:sz w:val="20"/>
        </w:rPr>
        <w:t xml:space="preserve">, which considered the interaction of PTAs, terminal disclaimers, and obvious-type double patenting, may negatively affect the patent term of any issued patents that rely on any PTA. In addition to increasing uncertainty with regard to our ability to obtain patents in the future, this combination of events has created uncertainty with respect to the value of patents once obtained. Depending on decisions by Congress, the federal courts, the USPTO, and the relevant law-making bodies in other countries, the laws and regulations governing patents could change in unpredictable ways that could weaken our ability to obtain new patents or to enforce our existing patents and patents that we might obtain in the future. For example, in the 2013 case </w:t>
      </w:r>
      <w:r>
        <w:rPr>
          <w:rFonts w:ascii="Times New Roman" w:hAnsi="Times New Roman"/>
          <w:i/>
          <w:color w:val="000000"/>
          <w:sz w:val="20"/>
        </w:rPr>
        <w:t>Assoc. for Molecular Pathology v. Myriad Genetics, Inc.</w:t>
      </w:r>
      <w:r>
        <w:rPr>
          <w:rFonts w:ascii="Times New Roman" w:hAnsi="Times New Roman"/>
          <w:color w:val="000000"/>
          <w:sz w:val="20"/>
        </w:rPr>
        <w:t xml:space="preserve">, the United States Supreme Court held that certain claims to naturally occurring substances are not patentable. Although we do not believe that any of the patents owned or licensed by us will be found invalid based on this decision, we cannot predict how future decisions by Congress, the federal courts, the USPTO, or the relevant law-making bodies in other countries may impact the value of our patents. For example, the Inflation Reduction Act (IRA) authorizes the Secretary of the Department of Health and Human Services (HHS) to negotiate prices directly with participating manufacturers for selected medicines covered by Medicare even if these medicines are protected by an existing patent. While we do not believe that the IRA or its effects will impact our ability to obtain patents in the near future, we cannot be certain whether and to what extent it will affect our longer-term patent strategy or our business. Additionally, in July 2025, the FDA announced its intent to increase transparency by publicly releasing complete response letters (CRLs) issued to drug and biologic sponsors, and subsequently announced it would release in “real time” newly issued CRLs. In July 2026, the FDA further announced its intent to issue a proposed rule to clarify and expand the FDA’s discretion with respect to the public release of CRLs. CRLs, which are issued when a BLA or New Drug Application cannot be accepted in its current form, outline the reasons for non-approval and may contain confidential or proprietary information relating to the applicant’s product, including clinical trial, manufacturing, and technical information, including specific observations about study design and clinical endpoints. Although the FDA has stated that confidential information will be redacted, it remains unclear how such disclosures will be implemented. Any public release of a CRL issued to us could result in the unintentional disclosure of information that competitors may use to infer proprietary aspects of our or our licensor’s technologies, which could compromise our confidential and proprietary information, including our trade secrets and know-how, or facilitate third-party efforts to design around or challenge the validity, enforceability, or scope of our patents, or accelerate the development of biosimilars. If we are required to modify or limit the information shared with the FDA to mitigate such risks, it could increase our costs, slow our regulatory interactions, or delay our product approval timelines. Accordingly, evolving laws, regulations, and policies in the United States and other countries may adversely affect our and our licensors’ ability to obtain new patents or to enforce existing patents and may facilitate third-party challenges to any of our owned or licensed patents. </w:t>
      </w:r>
    </w:p>
    <w:p>
      <w:pPr>
        <w:pStyle w:val="TextBody"/>
        <w:bidi w:val="0"/>
        <w:spacing w:before="36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USPTO and foreign governmental patent agencies require compliance with a number of procedural, documentary, fee payment, and other similar requirements during the patent application process. Additionally, periodic maintenance fees on any issued patent must be paid to the USPTO and foreign patent agencies in several stages over the lifetime of the patent. We employ reputable law firms and other professionals to help us comply, and in many cases, an inadvertent lapse can in many cases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Noncompliance events that could result in a failure to perfect a priority claim, abandonment, or lapse of a patent or patent application include failure to respond to official actions within prescribed time limits, failure to pay fees, and failure to properly legalize and submit formal documents. In any such event, our competitors might be able to enter the market, which would have a material adverse effect on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Regulatory Environment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development and commercialization of biopharmaceutical products is subject to extensive regulation, and the regulatory approval processes of the FDA and comparable foreign regulatory authorities are lengthy, time-consuming, and inherently unpredictable. If we are unable to obtain regulatory approval for our product candidates on a timely basis, or at all, our business will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development, manufacturing, labeling, packaging, storage, recordkeeping, advertising, promotion, export, import, marketing, distribution, adverse event reporting, including the submission of safety and other post-marketing information and reports, and other activities we may engage in relating to our product candidates are subject to extensive regulation. In the United States, marketing approval of biologics requires the submission of a BLA to, and approval of such BLA by, the FDA, before a party can market any product candidate in the United States. A BLA must be supported by extensive clinical and preclinical data, as well as extensive information regarding pharmacology, chemistry, manufacturing, and controls. Outside the United States, many comparable foreign regulatory authorities employ similar approval processes. Any issues encountered by such regulatory authorities, including as a result of any prolonged government shutdown, could delay or otherwise negatively impact the development and commercialization of our product candidates. For example, changes in leadership, closures of government agencies, loss of key personnel, and staffing shortages, furloughs, lapses in government appropriations or funding, or other disruptions could increase the time required for interactions with regulatory authorities, including with respect to the review, acceptance, or approval of regulatory applications or other correspondence or submissions related to our product candidates, as well as our patent or other intellectual property applications, and could also result in delays in the interpretation and implementation of important laws and regulations relevant to our business. In addition, there is uncertainty regarding how the FDA and other government agencies may evolve in the coming years, as well as with respect to the regulatory approval process for biopharmaceutical products. For example, in January 2025, an executive order entitled “Unleashing Prosperity Through Deregulation” called for at least ten existing regulations to be repealed whenever an executive department or agency publicly proposes for notice and comment or otherwise promulgates a new regulation. There have also been numerous developments at the FDA under the current government administration, including implementation of a GenAI tool, referred to as Elsa, across all centers at the FDA, announcement of a plan to phase out animal testing for certain drugs, and the announcement of a new Commissioner’s National Priority Voucher (CNPV) pilot program to accelerate the development and review of products that are aligned with United States national health priorities and interests. The FDA has also increased its scrutiny of certain foreign parties, including drug manufacturing facilities and other contractors involved in clinical trials, in particular with respect to the transfer of Americans’ biological materials and genetic and other sensitive data to parties located in China. We cannot fully predict how developments such as those described above, including any future developments, will impact our business.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To date, we have not submitted a BLA to the FDA or similar applications to comparable foreign regulatory authorities for any product candidate, and we cannot be certain that any of our product candidates will receive regulatory approval once a BLA or similar application has been submitted. The process of obtaining regulatory approval is expensive, uncertain, often takes many years following the commencement of clinical trials, and can vary substantially based upon the type, complexity, and novelty of the product candidates involved, as well as the target indications, patient population, and regulatory authority involved. As a company, we have no experience with the preparation and submission of a BLA or any other application for marketing approval. Further, the FDA has not yet granted approval for a therapeutic derived from stem cells, which we believe may increase the complexity, uncertainty, and length of the regulatory approval process for certain of our product candidates developed using our </w:t>
      </w:r>
      <w:r>
        <w:rPr>
          <w:rFonts w:ascii="Times New Roman" w:hAnsi="Times New Roman"/>
          <w:i/>
          <w:color w:val="000000"/>
          <w:sz w:val="20"/>
        </w:rPr>
        <w:t>ex vivo</w:t>
      </w:r>
      <w:r>
        <w:rPr>
          <w:rFonts w:ascii="Times New Roman" w:hAnsi="Times New Roman"/>
          <w:color w:val="000000"/>
          <w:sz w:val="20"/>
        </w:rPr>
        <w:t xml:space="preserve"> cell engineering platform. In addition, the FDA has the authority to require a REMS plan as part of a BLA approval or after BLA approval, which may impose further requirements or restrictions on the distribution or use of an approved biologic, such as limiting prescribing to certain physicians or medical centers that have undergone specialized training, limiting treatment to patients who meet certain safe-use criteria, and requiring treated patients to enroll in a registry.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candidates could fail to receive regulatory approval for many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the design or implementation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to the satisfaction of the FDA or comparable foreign regulatory authorities that a product candidate satisfies the FDA’s or such comparable foreign regulatory authorities’ legal standards with respect to safety, purity, and potency, or efficacy, for its intended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clinical trials may not meet the level of statistical significance required by the FDA or comparable foreign regulatory authorities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that a product candidate’s clinical and other benefits outweigh its safety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our interpretation of data from preclinical studies or clinical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trials may not be sufficient to support the submission of a BLA or other comparable foreign submission or to obtain regulatory approval in the United States or elsewhere, or regulatory authorities may not accept a submission due to, among other reasons, the content or formatting of the submission;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fail to approve our manufacturing processes or facilities or those of CDMOs with which we contract for clinical and commercial product supply;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or comparable foreign regulatory authorities may change in a manner that renders our clinical data insufficient for approval, including, for example, as a result of positive or negative data from third parties regarding other products or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lengthy approval process, as well as the unpredictability of clinical trial results, may prevent us from obtaining regulatory approval to market any of our product candidates, which would significantly harm our business, results of operations, and prospects. The FDA and comparable foreign regulatory authorities have substantial discretion in the approval process and in determining whether and when regulatory approval will be granted for any product candidates, including those that we may submit for approval in the future. For example, regulatory authorities in various jurisdictions have in the past had, and may in the future have, differing requirements for, interpretations of, and opinions on preclinical and clinical data, and certain regulatory authorities may more closely scrutinize our data, including our processes for maintaining the integrity of and disseminating such data, in particular, as our product candidates advance into later stages of development. We may be required to conduct additional preclinical studies, alter our proposed clinical trial designs, or conduct additional clinical trials to satisfy the regulatory authorities in each of the jurisdictions in which we hope to conduct clinical trials and develop and, if approved, market our products. In addition, from time to time, the FDA and other governmental or regulatory authorities across jurisdictions may adopt or promulgate laws, regulations, guidance, standards, or policies, or issue communications in areas applicable to various aspects of our research and development programs. Our efforts to comply with or address such laws, regulations, guidance, standards, policies, or communications could increase the time and expense required, or make it more difficult, to complete development activities and ultimately obtain regulatory approval for our product candidates. Further, certain of such laws, regulations, guidance, standards, policies, or communications may be subject to varying interpretations, which may increase our risk of potential noncompliance. Additionally, as discussed elsewhere in these Risk Factors, the FDA’s “real-time” release of newly issued CRLs, if received for any of our product candidates, could materially harm our business. In such a case, the deficiencies in our BLA may be publicly disclosed before we have an opportunity to fully evaluate or address them, and even if a CRL contains redactions, our confidential or proprietary information may be revealed, which could harm our intellectual property strategy and competitive position, trigger disclosure requirements, and increase our exposure to potential litigation.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even if we obtain approval for any of our product candidates, regulatory authorities may grant such approval for fewer or more limited indications than we request, may not approve the price we intend to charge for such product, may grant approval contingent on the performance of costly post-marketing clinical trials, or may approve such product with a label that does not include the labeling claims necessary or desirable for the successful commercialization of that product. Notably, to date, the FDA has required that any patient receiving a gene therapy be followed for 15 years post-treatment. This post-treatment follow-up, and any other requirements that the FDA or other regulatory authorities may impose for gene or cell therapy products, increases the cost and complexity of developing and ultimately commercializing such products. Any of the foregoing scenarios could materially harm the commercial prospects for our product candidates.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Certain of our product candidates may require or otherwise benefit from use of a companion diagnostic to such product candidate for efficacy, safety, or other reasons. If we or our collaborators are unable to successfully develop and obtain regulatory approval for any necessary companion diagnostics for these product candidates, or experience significant delays in doing so, we may be unable to obtain regulatory approval for, commercialize, and generate revenue from such product candidates or be unable to realize their full commercial potential.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of our product candidates may require or otherwise benefit from use of a companion diagnostic to such product candidate for efficacy, safety, or other reasons. In such cases, the FDA and comparable foreign regulatory authorities may require the development and regulatory approval or clearance of at least one companion diagnostic as a condition to approving such product candidate for use in the relevant patient population. We do not have experience in or capabilities for developing or commercializing companion diagnostics and expect that, if companion diagnostics are needed for our product candidates and satisfactory companion diagnostics are not commercially available, we will need to collaborate with third-party diagnostic development collaborators to perform these functions. The process of identifying suitable collaborators and developing and obtaining approval or clearance for companion diagnostics is lengthy, costly, uncertain, and time-consuming.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Companion diagnostics are subject to regulation by the FDA and comparable foreign regulatory authorities as medical devices and may require separate regulatory approval prior to commercialization. The approval or clearance of a companion diagnostic as part of a therapeutic product’s further labeling limits the use of the therapeutic product to only those patients who express the specific characteristic that the companion diagnostic was developed to detect. For any companion diagnostic developed for use with one of our product candidates, we or our collaboration partners may experience delays in obtaining or may be unable to obtain regulatory approval or clearance for or be able to continue marketing of such companion diagnostic for various reasons, such as difficulties in manufacturing, technology transfer activities, or obtaining adequate third-party reimbursement, which could harm our business. If we or our collaboration partners are unable to obtain necessary regulatory approvals or clearance for companion diagnostics necessary for our product candidates or experience delays in doing so, we may suffer significant negative consequences that could harm our business, possibly materially,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successfully complete clinical trials of the applicable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applicable product candidate may not receive marketing approval on a timely basis or at all, if its safe and effective use depends on use of a companion diagnostic;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realize the full commercial potential of the applicable product candidate.</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attempt to secure approval from the FDA or comparable foreign regulatory authorities through accelerated approval pathways. If we are unable to obtain such approval, we may be required to conduct additional preclinical or clinical studies, or additional data analysis from prior studies, beyond those that we contemplate, which could increase the expense of obtaining, and delay the receipt of, necessary marketing approvals. Even if we receive approval through the FDA’s accelerated approval pathway, if our confirmatory trials or additional analysis do not verify clinical benefit, or if we do not comply with rigorous post-marketing requirements, the FDA may seek to withdraw any accelerated approval we have obtained.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in the future seek accelerated approval for one or more of our product candidates. Under the FDA’s Accelerated Approval Program, the FDA may grant accelerated approval to a product candidate designed to treat a serious or life-threatening condition that is reasonably likely to provide a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accelerated approval pathway may be used in cases in which the advantage of a new drug over available therapy may not be a direct therapeutic advantage, but is a clinically important improvement from a patient and public health perspective. If granted, accelerated approval is typically contingent on the sponsor’s agreement to conduct, in a diligent manner, additional confirmatory studies or additional data analysis from prior studies to verify and describe the drug’s clinical benefit. If such post-approval confirmatory studies or additional analyses fail to confirm the drug’s clinical benefit or are not completed in a timely manner or at all, the FDA may withdraw its approval of the drug on an expedited basis.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response to certain concerns regarding the current accelerated approval pathway, Congress has considered and may in the future consider legislation that could change aspects of the accelerated approval pathway, including in ways that may have uncertain outcomes. For example, in December 2022, President Biden signed an omnibus appropriations bill to fund the United States government through fiscal year 2023, included in which is the Food and Drug Omnibus Reform Act of 2022, which, among other things, introduced reforms intended to expand the FDA’s ability to regulate products receiving accelerated approval, including by increasing the FDA’s oversight over the conduct of confirmatory studies, such as requiring the FDA to specify conditions for post-approval study requirements and setting forth procedures for the FDA to withdraw a product on an expedited basis for noncompliance with post-approval requirements. To the extent the FDA requires us to amend the design of our clinical trials or requires additional trials to meet changes in the data requirements for approval, our clinical timelines and approval will be delayed, which could have an adverse effect on our business and operations. However, the ultimate impact of these reforms remains unclear. In addition, there is uncertainty regarding the extent to which reimbursement will be available for products that receive approval through this pathway. As a result, even if we obtain approval for a product candidate through this pathway, we may not receive reimbursement at the levels we expect, which could harm our ability to generate revenue and achieve or sustain profitability. The future of the Accelerated Approval Program and any other existing or potential future accelerated approval pathways, such as the CNPV pilot program described elsewhere in these Risk Factors, is uncertain, and we cannot predict which, if any, additional changes Congress, the FDA, or other governmental authorities will make, when such changes will be adopted, or how existing or future changes will affect our business. Any such changes may alter the applicable approval requirements in ways that make it more difficult or otherwise negatively impact our ability to obtain accelerated approval for our product candidates, and could increase the burden of compliance with post-marketing requirements, each of which could increase our costs and harm our ability to commercialize our products and achieve and sustain profitability.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seeking accelerated approval for any of our product candidates, we intend to seek feedback from the FDA or comparable foreign regulatory authorities and will otherwise evaluate our ability to seek and receive accelerated approval. There can be no assurance that, after our evaluation of the feedback and other factors, we will decide or be permitted to pursue or submit a BLA for accelerated approval or any other form of expedited development, review, or approval, or that, if we decide to pursue any such pathway, our applications will be granted on a timely basis or at all. The FDA or other comparable foreign regulatory authorities could also require us to conduct further studies prior to considering our application or granting approval of any type. In addition, even if we are able to obtain accelerated approval or any other form of expedited approval for any of our product candidates, we may not obtain such approval in a timely manner or otherwise in accordance with our timelines, and the costs of obtaining such approval and performing any additional studies or analysis may be higher than we currently anticipate. Further, if the results of any such additional studies or analysis do not ultimately support full regulatory approval of the applicable product, it may be withdrawn from the market, which could harm our ability to generate revenue and otherwise negatively impact our business and financial prospects. A failure to obtain, or delay in obtaining, accelerated approval or any other form of expedited development, review, or approval for any of our product candidates would extend the period of time until commercialization, if any, of such product candidate, could increase the cost of development of such product candidate beyond what we anticipate, and could harm our competitive position in the marketplace.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our product candidates receive regulatory approval, we and such products will be subject to ongoing obligations and continued regulatory review, which may require us to incur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FDA or a comparable foreign regulatory authority approves any of our product candidates, the manufacturing processes, testing, labeling, packaging, distribution, import, export, adverse event reporting, storage, advertising, promotion, and recordkeeping for the product will be subject to extensive and ongoing legal and regulatory requirements. These requirements include submission of safety and other post-marketing information and reports, registration, as well as continued compliance with cGMP and GCP regulations for any clinical trials that we may conduct post-approval. Any 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approved product. Compliance with the requirements and limitations described in this paragraph, or any issues that arise in connection with such compliance, may require us to incur significant expense and limit our ability to timely and successfully commercialize our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Manufacturers and their facilities are required to comply with extensive FDA and comparable foreign regulatory authority requirements, including ensuring that quality control and manufacturing procedures conform to cGMP regulations, as well as, for the manufacture of certain of our product candidates, the FDA’s cGTP regulations for the use of human cellular and tissue products to prevent the introduction, transmission, or spread of communicable diseases. As such, we and our CDMOs will be subject to continual review and inspections to assess compliance with cGMP and cGTP regulations and adherence to commitments made in any approved marketing application. Accordingly, we and third parties that we engage or with which we conduct business must continue to expend time, money, and effort in all areas of regulatory compliance, including manufacturing, quality control, and distribution.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if we obtain approval for any of our product candidates, our product labeling, advertising, and promotion will be subject to stringent legal and regulatory requirements and continuing regulatory review. In the United States, the FDA and the FTC strictly regulate the promotional claims that may be made about pharmaceutical products to ensure that any claims about such products are consistent with regulatory approvals, not misleading or false in any particular way, and adequately substantiated by clinical data. The promotion of a drug product in a manner that is false, misleading, unsubstantiated, or for unapproved (or off-label) uses may result in enforcement letters, inquiries and investigations, and civil and criminal sanctions by the FDA or the FTC. In particular, a product may not be promoted for uses that are not approved by the FDA,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 subject to significant liability. The FDA and other agencies actively enforce the laws and regulations prohibiting the promotion of off-label uses, and a company that is found to have improperly promoted off-label uses may be subject to significant sanctions and false claims litigation under federal and state statutes, which can lead to consent decrees, civil monetary penalties, restitution, criminal fines and imprisonment, and exclusion from participation in Medicare, Medicaid, and other federal and state healthcare programs.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there are changes in the application of legislation or regulatory policies, or a regulatory authority subsequently discovers problems with a product, such as adverse events of unanticipated severity or frequency, or problems with the manufacturing of such product, including the facility where it is manufactured, or disagrees with the promotion, marketing, or labeling of a product, such regulatory authority may impose restrictions on that product or us, including requiring withdrawal of the product from the market. If we or one of our distributors, licensees, or co-marketers fail to comply with applicable legal or regulatory requirements, a regulatory authority may,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 warning or untitled letters;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 or require us to issue, safety-related communications, such as safety alerts, field alerts, “Dear Doctor” letters to healthcare professionals, or import alerts;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impose civil or criminal fines or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suspend, limit, or withdraw regulatory approval, which could require us to conduct additional clinical trials, change our product labeling, or submit additional applications for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suspend any of our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refuse to approve our pending applications or supplements to approved applications;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conduct inquiries or investigations, which could require us to expend significant time and resources in response and generate negative publicity;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impose restrictions on our operations, the product, or its manufacture, including requiring us to close our and our CDMOs’ facilities;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impose regulatory sanctions, seize or detain products, refuse to permit the import or export of products, or require us to conduct a product recall or remove the product from the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of these events were to occur or if we otherwise fail to comply with ongoing legal and regulatory requirements, our ability to commercialize and generate revenue from our product candidates could be significantly impaired and we may incur substantial additional expense, which could materially adversely affect our business, financial condition, results of operations, and the overall value of our company. Moreover, the policies of the FDA and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judicial,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i/>
          <w:color w:val="000000"/>
          <w:sz w:val="20"/>
        </w:rPr>
        <w:t>Disruptions at the FDA and other government agencies caused by funding shortages, global health concerns, government shutdowns, lapses in government appropriations or funding, or other factors could hinder their ability to hire, retain, or deploy key leadership and other personnel, or otherwise prevent new or modified products from being developed, approved, or commercialized in a timely manner or at all, which could negatively 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the FDA to review and approve new products may be affected by a variety of factors, including government budget and funding levels, changes in federal agency leadership, statutory, regulatory, and other governmental changes, including government administration policy actions, such as those relating to hiring and return-to-office and reduction-in-force initiatives, the FDA’s ability to hire and retain key personnel, including personnel with the expertise necessary to evaluate product candidates such as ours, and accept the payment of user fees, and other events that may otherwise affect the FDA’s ability to perform routine functions. Average review times at the FDA have fluctuated in recent years. Moreover, these and other factors have increased the uncertainties associated with interpreting the FDA’s guidance and predicting its areas of focus and responses to various issues. In addition, government funding of the FDA and other government agencies, including those that fund research and development activities, is subject to the political process, which is inherently fluid and unpredictable and could lead to changes in agency funding that make it more difficult or costly to operate our business. For example, the United States government has, and may in the future, take actions that could impact the extent to which NIH grantees can receive funds for indirect costs associated with research activities, and we cannot predict how and the extent to which any such actions may impact our business. Disruptions at the FDA and other agencies, such as staffing changes that have occurred and may occur in the future, may also extend the time necessary for new biologics or modifications to licensed biologics to be reviewed or approved by necessary government agencies, which would adversely affect our business. For example, over the last several years, the United States government has shut down several times and certain regulatory agencies, such as the FDA, have had to furlough critical FDA employees and stop critical activities. If a prolonged government shutdown, a lapse in government appropriations or funding, or other disruption occurs, or if global health concerns, staffing shortages, budget restrictions, or other factors such as those described above prevent the FDA or comparable foreign regulatory authorities from conducting their normal operations, such as regular inspections, reviews, or other regulatory activities, it could significantly impact the ability of the FDA or comparable foreign regulatory authorities to timely review and process our regulatory submissions. Such factors could also harm the ability of other government agencies with which we interact in the normal course of business to carry out their core functions. The occurrence of any of the foregoing could have a material adverse effect on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operations and current and future relationships with healthcare professionals, healthcare facilities and institutions, clinical investigators, consultants, vendors, customers, and third-party payors in the United States and elsewhere are subject to applicable anti-kickback, fraud and abuse, false claims, physician payment transparency, and other healthcare laws and regulations, which could expose us to substantial penalties, contractual damages, reputational harm, administrative burdens, and diminished profits.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providers, healthcare facilities and institutions, physicians, and third-party payors in the United States and elsewhere will play a primary role in the recommendation and prescription of any product candidates for which we may obtain marketing approval. Our current and future arrangements with healthcare professionals, healthcare facilities and institutions, clinical investigators, consultants, customers, and third-party payors may expose us to broadly applicable fraud and abuse and other healthcare laws, including the federal Anti-Kickback Statute and the federal False Claims Act, that may constrain the business or financial arrangements and relationships through which we research, sell, market, and distribute any product candidates for which we obtain marketing approval. In addition, we may be subject to physician payment transparency laws and regulation by the federal and state governments and by foreign jurisdictions in which we conduct our business. The applicable federal, state, and foreign healthcare laws that affect our ability to operate include, but are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any United States federal healthcare program, such as Medicare and Medicaid. The term “remuneration” has been broadly interpreted to include anything of value, including stock options. The federal Anti-Kickback Statute has also been interpreted to apply to arrangements between pharmaceutical manufacturers on the one hand and prescribers, purchasers, and formulary managers on the other hand. There are a number of statutory exceptions and regulatory safe harbors protecting some common activities from prosecution, but the exceptions and safe harbors are drawn narrowly and require strict compliance in order to offer protection. Any arrangements with prescribers must be for </w:t>
      </w:r>
      <w:r>
        <w:rPr>
          <w:rFonts w:ascii="Times New Roman" w:hAnsi="Times New Roman"/>
          <w:i/>
          <w:color w:val="000000"/>
          <w:sz w:val="20"/>
        </w:rPr>
        <w:t>bona fide</w:t>
      </w:r>
      <w:r>
        <w:rPr>
          <w:rFonts w:ascii="Times New Roman" w:hAnsi="Times New Roman"/>
          <w:color w:val="000000"/>
          <w:sz w:val="20"/>
        </w:rPr>
        <w:t xml:space="preserve"> services and compensated at fair market value. A person or entity does not need to have actual knowledge of the statute or specific intent to violate it in order to have committed a violation;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United States federal civil and criminal false claims laws, including the civil False Claims Act, which can be enforced by private citizens on behalf of the United States federal government through civil whistleblower or </w:t>
      </w:r>
      <w:r>
        <w:rPr>
          <w:rFonts w:ascii="Times New Roman" w:hAnsi="Times New Roman"/>
          <w:i/>
          <w:color w:val="000000"/>
          <w:sz w:val="20"/>
        </w:rPr>
        <w:t>qui tam</w:t>
      </w:r>
      <w:r>
        <w:rPr>
          <w:rFonts w:ascii="Times New Roman" w:hAnsi="Times New Roman"/>
          <w:color w:val="000000"/>
          <w:sz w:val="20"/>
        </w:rPr>
        <w:t xml:space="preserve"> actions, and the federal civil monetary penalties law which prohibit, among other things, individuals or entities from knowingly presenting, or causing to be presented, to the United States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United States federal government. Pharmaceutical manufacturers can cause false claims to be presented to the United States federal government by, among other things, engaging in impermissible marketing practices, such as the off-label promotion of a product for an indication for which it has not received FDA approval. Further, pharmaceutical manufacturers can be held liable under the civil False Claims Act even when they do not submit claims directly to government payors if they are deemed to “cause” the submission of false or fraudulent claims. In addition, the government may assert that a claim including items and services resulting from a violation of the federal Anti-Kickback Statute constitutes a false or fraudulent claim for purposes of the civil False Claims Act;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healthcare fraud statute implemented under HIPAA or specific intent to violate it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Food, Drug, and Cosmetic Act, which prohibits, among other things, the adulteration or misbranding of drugs, biologics, and medical devices;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United States Public Health Service Act, which prohibits, among other things, the introduction into interstate commerce of a biological product unless a biologics license is in effect for that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United States Physician Payments Sunshine Act and its implementing regulations, which require, among other things, certain manufacturers of drugs, devices, biologics, and medical supplies that are reimbursable under Medicare, Medicaid, or the Children’s Health Insurance Program, with specific exceptions, to report annually to the Centers for Medicare and Medicaid Services (CMS) information related to certain payments and other transfers of value to physicians, as defined by statute, certain non-physician practitioners (including physician assistants, nurse practitioners, clinical nurse specialists, certified nurse anesthetists, anesthesiologist assistants, and certified nurse-midwives), and teaching hospitals, as well as ownership and investment interests held by such physicians and their immediate family members;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United States state laws and regulations, including: state anti-kickback and false claims laws, which may apply to our business practices, including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United States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and local laws requiring the registration of pharmaceutical sales representatives;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similar healthcare laws and regulations in foreign jurisdictions, including reporting requirements detailing interactions with and payments to healthcare providers.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Ensuring that our internal operations and business arrangements with third parties comply with applicable healthcare laws and regulations will involve substantial costs. We have entered into, and expect to enter into in the future, consulting and scientific and clinical advisory board arrangements with physicians and other healthcare providers, including some who could influence the use of our product candidates, if approved. Compensation under some of these arrangements may include the provision of stock options or other equity in addition to or in lieu of cash consideration. Because of the complex and far-reaching nature of these laws, it is possible that governmental authorities could conclude that our payments to physicians may not be fair market value for </w:t>
      </w:r>
      <w:r>
        <w:rPr>
          <w:rFonts w:ascii="Times New Roman" w:hAnsi="Times New Roman"/>
          <w:i/>
          <w:color w:val="000000"/>
          <w:sz w:val="20"/>
        </w:rPr>
        <w:t>bona fide</w:t>
      </w:r>
      <w:r>
        <w:rPr>
          <w:rFonts w:ascii="Times New Roman" w:hAnsi="Times New Roman"/>
          <w:color w:val="000000"/>
          <w:sz w:val="20"/>
        </w:rPr>
        <w:t xml:space="preserve"> services or that our business practices do not comply with current or future statutes, regulations, agency guidance, or case law involving applicable fraud and abuse or other healthcare laws and regulations. For example, these relationships and any related compensation could result in perceived or actual conflicts of interest, or the FDA’s determination that the financial relationship affected the conduct or interpretation of one of our preclinical studies or clinical trials. In such a case, the integrity of the data generated from such preclinical study or clinical trial may be questioned and the utility of the preclinical study or clinical trial itself may be jeopardized, which could result in the delay or rejection by the FDA of any regulatory submissions related to our product candidates. Any such delay or rejection could prevent us from commercializing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imprisonment, contractual damages, reputational harm, diminished profits, and the curtailment or restructuring of our operations. Further, defending against any governmental actions can be costly and time-consuming and may require significant personnel resources. Therefore, even if we are successful in defending against any such actions, our business may be impaired. In addition, if any of the physicians or other providers or entities with whom we expect to do business are found to violate applicable laws or regulations, they may be subject to criminal, civil, or administrative sanctions, including exclusions from government funded healthcare programs and imprisonment, which could affect our ability to operate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Our employees, independent contractors, principal investigators, consultants, vendors, commercial partners, and other third parties that we engage or with which we collaborate may engage in misconduct or other improper activities, including noncompliance with regulatory standards and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the risk of fraud and other misconduct committed by our personnel and third parties that we engage or with which we collaborate in the course of our operations, including our employees, independent contractors, principal investigators, consultants, vendors, and commercial partners. It is not always possible to identify and deter misconduct or business noncompliance by such parties. We cannot ensure that precautions we take to detect and prevent inappropriate conduct, including our compliance controls, policies, and procedures, will in every instance protect us or be effective in controlling unknown or unmanaged risks or losses or in protecting us from governmental investigations or other actions or lawsuits stemming from unlawful acts committed by such parties in the jurisdictions in which we operate, including trade restrictions and sanctions and employment, foreign corrupt practices, environmental, competition, and patient privacy and other data privacy and protection laws and regulations. Misconduct by any such third parties could include failures to comply with FDA regulations, provide accurate information to the FDA, comply with manufacturing standards we may establish, report financial information or data accurately, comply with federal and state healthcare fraud and abuse laws and regulations, including prohibitions on pricing, discounting, labeling, marketing and promotion, sales commission, customer incentive programs, and other business arrangements, or disclose unauthorized activities to us. Such misconduct could also involve the improper use of information obtained in the course of clinical trials, which could result in regulatory sanctions and serious harm to our reputation. In addition, the use and expansion of prediction markets and other platforms that permit trading or wagering on company-, industry-, or product-related events may increase the risk of unauthorized disclosure or misuse of our confidential information by our personnel and third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actions are instituted against us as a result of such misconduct or noncompliance, and we are not successful in defending ourselves or asserting our rights, those actions could have a material adverse effect on our business, financial condition, results of operations, and prospects. For example, we may be subject to or experience significant civil, criminal, and administrative penalties, damages, monetary fines, individual imprisonment, disgorgement of profits, possible exclusion from participation in Medicare, Medicaid, and other federal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 our business and pursue our strategy. </w:t>
      </w:r>
    </w:p>
    <w:p>
      <w:pPr>
        <w:pStyle w:val="TextBody"/>
        <w:bidi w:val="0"/>
        <w:spacing w:before="360" w:after="283"/>
        <w:jc w:val="left"/>
        <w:rPr>
          <w:rFonts w:ascii="Times New Roman" w:hAnsi="Times New Roman"/>
          <w:sz w:val="20"/>
        </w:rPr>
      </w:pPr>
      <w:r>
        <w:rPr>
          <w:rFonts w:ascii="Times New Roman" w:hAnsi="Times New Roman"/>
          <w:b/>
          <w:i/>
          <w:color w:val="000000"/>
          <w:sz w:val="20"/>
        </w:rPr>
        <w:t>Current and future legislation may increase the difficulty and cost for us and any future collaborators to obtain marketing approval of and commercialize our product candidates and affect the prices we, or they, may charge for such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United States federal and state levels that seek to reduce healthcare costs and improve the quality of healthcare. For example, the Patient Protection and Affordable Care Act (the ACA), enacted in 2010, substantially changed the way healthcare is financed by both governmental and private payors. Among the provisions of the ACA of importance to the pharmaceutical and biotechnology industries, which includes biologics, are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the minimum level of Medicaid rebates payable by manufacturers of brand name drugs from 15.1% to 23.1% of the average manufacturer price;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expansion of the manufacturer Medicaid rebate obligation to drugs paid by Medicaid managed care organizations;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requirement for manufacturers to participate in a coverage gap discount program, under which they must agree to offer 70% point-of-sale discounts off negotiated prices of applicable brand drugs to eligible beneficiaries during their coverage gap period, as a condition for the manufacturer’s outpatient drugs to be covered under Medicare Part 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non-deductible annual fee on pharmaceutical manufacturers or importers who sell “branded prescription drugs” to specified federal government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new Patient-Centered Outcomes Research Institute to oversee, identify priorities in, and conduct comparative clinical effectiveness research, along with funding for such research;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establishment of a Center for Medicare and Medicaid Innovation at CMS to test innovative payment and service delivery models to lower Medicare and Medicaid spending, potentially including prescription drug spending;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licensure framework for follow-on biologic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its enactment, there have been judicial, executive, and Congressional challenges to certain aspects of the ACA. On June 17, 2021, the United States Supreme Court dismissed the most recent judicial challenge to the ACA without specifically ruling on the constitutionality of the ACA. Thus, the ACA will remain in force in its current form.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Other legislative changes have been proposed and adopted in the United States since the ACA was enacted, including aggregate reductions of Medicare payments to providers through 2032. </w:t>
      </w:r>
      <w:r>
        <w:rPr>
          <w:rFonts w:ascii="Times New Roman" w:hAnsi="Times New Roman"/>
          <w:color w:val="231F20"/>
          <w:sz w:val="20"/>
        </w:rPr>
        <w:t xml:space="preserve">In addition, </w:t>
      </w:r>
      <w:r>
        <w:rPr>
          <w:rFonts w:ascii="Times New Roman" w:hAnsi="Times New Roman"/>
          <w:color w:val="000000"/>
          <w:sz w:val="20"/>
        </w:rPr>
        <w:t>the American Rescue Plan Act of 2021 eliminated the statutory Medicaid drug rebate cap. Elimination of this cap may require pharmaceutical manufacturers to pay more in rebates than they receive on the sale of products, which could have a material impact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Most significantly, on August 16, 2022, President Biden signed the IRA into law. This statute marks the most significant action by Congress with respect to the pharmaceutical industry since adoption of the ACA in 2010. Among other things, the IRA created the Medicare Drug Price Negotiation Program, which requires, beginning in 2026, manufacturers of certain drugs to engage in price negotiations with Medicare, with prices that can be negotiated subject to a cap; imposes rebates, first due in 2023, under Medicare Part B and Medicare Part D to penalize price increases that outpace inflation; and, effective in 2025, replaces the Part D coverage gap discount program with a new discounting program. The IRA permits the Secretary of HHS to implement many of these provisions through guidance, as opposed to regulation, for the initial years. HHS has issued and will continue to issue and update guidance as these programs are implemented. Only high-expenditure single-source drugs that have been approved for at least seven years (11 years for single-source biologics) can qualify for negotiation, with the negotiated price taking effect two years after the selection year. For 2026, the first year in which negotiated prices become effective, CMS selected ten high-cost Medicare Part D drugs in 2023, negotiations began in 2024,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Part B or Part D drugs will be selected. In June 2026, CMS issued a proposed rule that would codify policies established in guidance documents for the Medicare Drug Price Negotiation Program for initial price applicability year 2029 and beyond. CMS plans to release guidance to implement policies related to the effectuation of the maximum fair pricing for the Medicare Drug Price Negotiation Program for 2028. Various industry stakeholders, including certain pharmaceutical companies and the Pharmaceutical Research and Manufacturers of America, have initiated lawsuits against the federal government asserting that the price negotiation provisions of the IRA are unconstitutional. The impact of the IRA and ongoing and future legislative, executive, judicial, and administrative actions and any healthcare measures and agency rules on the pharmaceutical industry generally, and on our business specifically, is uncertain. If we obtain regulatory approval for any of our product candidates, the IRA could substantially and negatively impact the prices we may charge for such products, which could harm our ability to generate revenue and achieve and sustain profitability.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One Big Beautiful Bill Act (OBBBA), which was signed into law on July 4, 2025, includes provisions that will impact the United States healthcare system in various ways. For example, the OBBBA is expected to significantly reshape the Medicaid program, including by introducing new work and eligibility requirements and changes to Medicaid payment and financing. Although the full impact of the OBBBA on the healthcare system and our business is uncertain, we may face increased costs and complexity in completing clinical development of and commercializing any product candidates for which we may receive regulatory approval, which could adversely affect our business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individual states in the United States have passed legislation and implemented regulations designed to control pharmaceutical and biological product pricing and costs. Similar developments have occurred outside of the United States, including in the EU where healthcare budgetary constraints have resulted in restrictions on the pricing and reimbursement of medicines by relevant health service providers. To obtain reimbursement or pricing approval in some EU member states, we may be required to conduct studies that compare the cost-effectiveness of our product candidates to other therapies that are considered the local standard of care.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there have been a number of, and there may in the future be, other policy, legislative, and regulatory proposals aimed at changing the pharmaceutical industry. The United States government, state legislatures, and foreign governmental entities have shown significant interest in implementing cost containment programs to limit the growth of government-paid healthcare costs, including price controls, restrictions on reimbursement and coverage, drug importation programs and proposals, and requirements for substitution of generic products for branded prescription drugs. For example, the current government administration has introduced various measures to address prescription drug pricing and access, including through issuance of an executive order aiming to establish a “most-favored-nation” drug pricing policy that would tie United States drug prices to the prices paid for drugs in other countries, which has prompted and may lead to additional government and industry action in furtherance of this policy, including agreements between the government and major pharmaceutical companies designed to bring American drug prices in line with the lowest price paid by other developed nations and the potential rollout of direct-to-consumer drug purchasing programs and platforms. In particular, the current administration has directed the Secretary of HHS to establish a mechanism through which American patients can buy drugs directly from manufacturers who sell at a most-favored-nation price and directed the United States Trade Representative (USTR) and Secretary of Commerce to take action to ensure foreign countries are not engaged in practices that purposefully and unfairly undercut market prices and drive price hikes in the U.S. In addition, in January 2026, CMS launched the GENEROUS Model (GENErating cost Reductions fOr U.S. Medicaid Model), which aims to ensure fair and reasonable drug prices for Medicaid through CMS-led negotiations with drug manufacturers. Under the GENEROUS Model, manufacturers will provide supplemental rebates to participating states for drugs included in the model to align Medicaid net prices with what certain other countries pay. The GENEROUS Model is voluntary for manufacturers and states. In October 2026, CMS published the Global Benchmark for Efficient Drug Pricing (GLOBE) Model final rule, which will implement a mandatory Medicare Part B five-year demonstration payment model that will require manufacturers of certain high-spend Part B drugs and biological products to pay rebates to CMS tied to international drug prices for those products. The final rule added exclusions for orphan-only drugs, cellular and gene therapy products, and plasma-derived products, and delayed the start of the first performance year to April 1, 2027. CMS also noted that it intends to waive GLOBE’s mandatory participation requirements for manufacturers in any calendar quarter during which they are participating in the GENEROUS Model. The final rule is subject of ongoing litigation, which may impact its implementation. Government agreements with pharmaceutical companies and other measures that use most-favored-nation pricing targets for prescription drugs or that increase generic and biosimilar drug entry sooner than expected could have a material adverse effect on our industry and our business generally, including by harming our ability to set adequate pricing for new drugs to recover research and development costs, our ability to attract potential investors and potential buyers in the future, or the pricing of any of our approved products in the United States or in foreign countries, and discouraging the commercialization of products outside of the United States. The timing and extent of implementation of any of the measures described above is uncertain and we cannot fully predict their impact on our product candidates and our business. However, the adoption of these and any other government controls and measures, and tightening of restrictive policies in jurisdictions with existing controls and measures, could exclude or limit our product candidates from coverage, limit payments for pharmaceuticals, and impact healthcare systems and drug markets in the United States and abroad.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addition, the policies of the FDA and of comparable foreign regulatory authorities may change and additional laws, regulations, and government actions may be enacted that could prevent, limit, or delay regulatory approval of our product candidates. We cannot predict the likelihood, nature, or extent of government regulation that may arise from future legislation or administrative, judicial, or executive action, either in the United States or abroad. In June 2024, the Supreme Court overturned the </w:t>
      </w:r>
      <w:r>
        <w:rPr>
          <w:rFonts w:ascii="Times New Roman" w:hAnsi="Times New Roman"/>
          <w:i/>
          <w:color w:val="000000"/>
          <w:sz w:val="20"/>
        </w:rPr>
        <w:t xml:space="preserve">Chevron </w:t>
      </w:r>
      <w:r>
        <w:rPr>
          <w:rFonts w:ascii="Times New Roman" w:hAnsi="Times New Roman"/>
          <w:color w:val="000000"/>
          <w:sz w:val="20"/>
        </w:rPr>
        <w:t xml:space="preserve">doctrine, which gave deference to regulatory agencies' statutory interpretations of ambiguous federal laws in litigation against these agencies, including the FDA. This landmark decision may invite more companies or other stakeholders to bring lawsuits against the FDA to challenge its longstanding decisions and policies, including its statutory interpretations of market exclusivities and the “substantial evidence” requirements for drug approvals, and could undermine its authority, increase the difficulty of enforcing FDA regulations, disrupt its normal operations, lead to longer review and decision-making timelines, and lead to uncertainties in the industry, which could delay FDA review of any regulatory submissions we may submit for our product candidates. We cannot predict the full impact of this decision, future challenges brought against the FDA, or the nature or extent of government regulation that may arise from future legislation or administrative, judicial, or other governmental action, including under the current government administration.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currently enacted legislation may not be renewed once it expires, which may make it more difficult for us to obtain regulatory approval for and commercialize our product candidates. For example, the Prescription Drug User Fee Act (PDUFA) was enacted by Congress in 1992 to allow the FDA to collect fees from parties that produce certain human drug and biological products. Among other things, the fees collected under PDUFA provide for the timely review of regulatory submissions, such as BLAs. PDUFA has been renewed multiple times since its enactment, including at the end of September 2022, which has allowed the FDA to continue collecting prescription drug user fees. However, there is no guarantee that the most recent renewal will continue without modification or that future renewals will occur in a timely manner, if at all, including, for example, due to recent and potential future government administration actions and policy changes. In addition, there may be amendments to PDUFA that could significantly affect how regulatory submissions are reviewed, and we cannot predict the extent of such amendments and how they will affect our business. For example, the FDA has proposed certain changes to the PDUFA fee structure designed to incentivize clinical development in the United States, which, if implemented, could increase our costs with respect to any programs for which we conduct development outside of the United States. If PDUFA is not renewed or its renewal is delayed, or if PDUFA is amended in certain ways, the FDA’s ability to review any regulatory submissions and related correspondence for our product candidates may be materially adversely impacted, which could negatively impact our development timelines and ability to obtain regulatory approval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EU, similar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 reimbursement and healthcare payment systems vary significantly by country, and many countries have instituted price ceilings on specific products and therapies.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13, 2021, Regulation 2021/2282 on Health Technology Assessment (HTA) amending Directive 2011/24/EU (the Regulation), was adopted in the EU. While the Regulation entered into force in January 2022, from January 31, 2025, or the end of the transition period, any trials approved under the Clinical Trials Directive that continue running must comply with the Regulation, and their sponsors must enter information on the trials in the CTIS, which provides a single-entry point for sponsors and regulators of clinical trials for the submission and assessment of clinical trial data. The Regulation intends to boost cooperation among EU member states in assessing health technologies, including new medicinal products, and providing the basis for cooperation at the EU level for joint clinical assessments in these areas. The Regulation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and ethical) aspects of health technology, and making decisions on pricing and reimbursement.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UK, the former 2019 Voluntary Scheme for Branded Medicines Pricing and Access (VPAS) scheme for cost containment of branded National Health Service (NHS) prescription medicines ended in 2023, and has been replaced by the 2024-2028 Voluntary Scheme for Branded Medicines Pricing, Access and Growth (VPAG) scheme. VPAG is an agreement between the UK government, the NHS, and the pharmaceutical industry, pursuant to which the pharmaceutical industry commits to returning NHS overspend based on sales of branded prescription medicines (innovative brands, branded generics, and biosimilars) when a maximum sales growth rate is exceeded. The rebate calculations use a product-by-product assessment that classifies branded medicines as either “new active substances,” “newer medicines,” or “older medicines” based on a set of rules. All companies selling branded prescription medicines in the UK can, but are not required to, be members of VPAG. Once they join, companies remain in the scheme and any decision to leave in the following year must be made three months before the calendar year ends. A statutory scheme, which is intended to be broadly commercially equivalent to VPAG, runs alongside VPAG for companies that do not choose to join or remain in VPAG. However, because changes can be made to the statutory scheme at any point after a short public consultation, it does not provide the same stability as the five-year VPAG.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predict the likelihood, nature, or extent of government regulation that may arise from future legislation or administrative, judicial, or executive action in the United States or any other jurisdiction. If we or any third parties we may engage or with which we collaborate are slow or unable to adapt to changes in existing requirements or the adoption of new requirements or policies, or if we or such third parties are not able to maintain regulatory compliance, our product candidates may be unable to obtain regulatory approval or lose any regulatory approval that may have been obtained, and we may not achieve or sustain profitability.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we are able to commercialize any product candidate, coverage and adequate reimbursement may not be available or such product candidate may become subject to unfavorable pricing regulations or third-party coverage and reimbursement policies, which would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regulations that govern regulatory approvals, pricing, and reimbursement for drug products vary widely from country to country. Some countries require approval of the sale price of a drug product before it can be marketed. In many countries, the pricing review period begins after marketing approval is granted. In some foreign markets, prescription drug product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commercialize any products successfully also will depend in part on the extent to which coverage and adequate reimbursement for these products and related treatments will be available from third-party payors, such as government authorities, private health insurers, and other organizations, which consider various factors in determining the level of coverage and reimbursement, including the nature of the disease to be treated, the availability and cost of other therapies for the same disease, and the size of the patient population that could benefit from such treatment. In particular, we may face challenges commercializing products that we develop as functional cures for particular diseases, which raise unique coverage and reimbursement considerations relative to more traditional therapies. Even if we succeed in bringing one or more products to the market, these products may not be considered cost-effective, and the amount reimbursed for any products may be insufficient to allow us to sell our products on a competitive basis. For example, the cost of treatment with our product candidates, including those developed as functional cures, may be expensive or more costly than other available treatment options, in particular, because such product candidates may require only a single or minimal number of administrations. Even if treatment costs are partially offset by coverage from third-party payors, required co-payments or deductibles may cause treatment with such product candidates to be too expensive for certain patients. Because our product candidates are in the early stages of development, we are currently unable to determine their cost effectiveness or the likely level or method of coverage and reimbursement. Increasingly, the third-party payors that reimburse patients or healthcare providers are requiring that drug companies provide these payors with predetermined discounts from list prices and are seeking to reduce the prices charged or the amounts reimbursed for drug products. If the price we are able to charge for any products we develop, or the coverage and reimbursement provided for such products, is inadequate in light of our development and other costs, our return on investment could be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may be significant delays in obtaining reimbursement for newly-approved drug products, and coverage may be more limited than the purposes for which the drug product is approved by the FDA or comparable foreign regulatory authorities. Moreover, eligibility for reimbursement does not imply that any product for which we receive regulatory approval will be reimbursed in all cases or at a rate that covers our costs, including for research, development, manufacture, sale, and distribution.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Interim reimbursement levels for new drug products, if applicable, may also be insufficient to cover our costs and may not be made permanent. Reimbursement rates may be based on payments allowed for lower cost drug products that are already reimbursed, may be incorporated into existing payments for other services, and may reflect budgetary constraints or imperfections in Medicare data. Net prices for drug products may be reduced by mandatory discounts or rebates required by third-party payors and by any future relaxation of laws that presently restrict imports of drug products from countries where they may be sold at lower prices than in the United States. Obtaining coverage and adequate reimbursement for our product candidates may be particularly difficult because of the higher prices often associated with drugs administered under the supervision of a physician. For our product candidates that are intended to be administered by a physician (for example, via injection or transplantation), separate reimbursement for the product itself may or may not be available. Instead, the administering physician may or may not be reimbursed for providing the treatment or procedure in which our product is used.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no uniform policy for coverage and reimbursement exists in the United States, and coverage and reimbursement can differ significantly from payor to payor. Third-party payors often follow Medicare coverage policy and payment limitations in setting their own reimbursement rates, but also have their own methods and approval process apart from Medicare determinations. As a result, the coverage determination process is often time-consuming and costly and will likely require us to provide scientific and clinical support for the use of our product candidates to each payor separately, with no assurance that coverage and adequate reimbursement will be applied consistently or obtained in the first instance. Decisions regarding the extent of coverage and amount of reimbursement to be provided for any product candidates that we develop will be made on a payor-by-payor basis. One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will be approved.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discussed elsewhere in these Risk Factors, there have been, and likely will continue to be, legislative, regulatory, and other governmental proposals at the foreign, federal, and state levels directed at broadening the availability of healthcare and containing or lowering the cost of healthcare. We cannot predict what initiatives may be adopted in the future. The continuing efforts of the government, insurance companies, managed care organizations, and other payors of healthcare services to contain or reduce costs of healthcare or impose price controls may adversely affect: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demand for any of our product candidates that may receive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set a price for our approved products that we believe is fair;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coverage and reimbursement approval for an approved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taxes that we are required to pay;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capital.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companion diagnostic tests that we or our collaborators may develop require coverage and reimbursement separate and apart from the coverage and reimbursement for their companion pharmaceutical or biologics products. Similar challenges to obtaining coverage and reimbursement applicable to pharmaceutical or biologics products will apply to companion diagnostic tests. Our inability to promptly obtain coverage and adequate reimbursement from third-party payors for the product candidates that we may develop and for which we obtain regulatory approval or any companion diagnostics that we or our collaborators may develop could have a material and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face potential liability related to the privacy of personal information, including health information we utilize in the development of products developed from our ex vivo cell engineering platform, as well as information we may obtain from research institutions participating in clinical trials involving our product candidates or technologies and directly from individuals.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our partners and vendors are subject to various federal, state, and foreign laws and regulations relating to data protection, privacy, and security. If we fail, or are alleged to fail, to comply with these laws and regulations, we may be subject to litigation, regulatory investigations, enforcement notices, enforcement actions, fines, and criminal or civil penalties, as well as negative publicity, reputational harm, and potential loss of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United States, our and our partners’ and vendors’ operations are subject to numerous federal and state laws and regulations, including state data breach notification laws and federal and state data privacy laws and regulations that govern the collection, use, disclosure, and protection of health information and other personal information. For example, most healthcare providers, including research institutions from which we may obtain patient health information, are subject to data privacy and security regulations promulgated under HIPAA, as amended by the Health Information Technology for Economic and Clinical Health Act of 2009 (HITECH). Depending on the facts and circumstances, we could be subject to significant penalties if we violate HIPAA. For example, under HIPAA, we could potentially face substantial criminal or civil penalties if we knowingly receive protected health information from a HIPAA-covered healthcare provider or research institution that has not satisfied HIPAA’s requirements for disclosure of such health information, or otherwise violate applicable HIPAA requirements related to the protection of such information. Even when HIPAA does not apply, failure to take reasonable steps to keep consumers’ personal information secure may constitute a violation of the Federal Trade Commission Act.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Certain materials we may use in our therapeutic research and development efforts, as well as stem cell lines used as starting material in our </w:t>
      </w:r>
      <w:r>
        <w:rPr>
          <w:rFonts w:ascii="Times New Roman" w:hAnsi="Times New Roman"/>
          <w:i/>
          <w:color w:val="000000"/>
          <w:sz w:val="20"/>
        </w:rPr>
        <w:t>ex vivo</w:t>
      </w:r>
      <w:r>
        <w:rPr>
          <w:rFonts w:ascii="Times New Roman" w:hAnsi="Times New Roman"/>
          <w:color w:val="000000"/>
          <w:sz w:val="20"/>
        </w:rPr>
        <w:t xml:space="preserve"> cell engineering product candidates, are derived from human sources, which may contain sensitive identifiable personal information regarding the donor. In addition, we or our partners or vendors may maintain or otherwise have access to sensitive identifiable personal information, including health information, that we receive throughout the clinical trial process, in the course of our research collaborations, and directly from individuals (or their healthcare providers) who may enroll in our patient assistance programs, if any. We may become subject to further obligations under HIPAA as a result of our access to such information. In addition, the HIPAA Standards for Privacy of Individually Identifiable Health Information (Privacy Rule) and the Security Standards for the Protection of Electronic Protected Health Information under HIPAA and HITECH are the subjects of final and proposed rule amendments, respectively. Additionally, many provisions of the final amendments to the Privacy Rule were vacated by a federal court in June 2025, and an appeal of that ruling was subsequently dismissed. We may be required to modify our policies and practices to address these and other updates to the rules implementing HIPAA and HITECH.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collection of personal information generally, including information of our employees, human donors, or patients, may subject us to state data privacy laws governing the processing of personal information and requiring notification to affected individuals and state regulators in the event of a data breach involving such personal information. For example, we may be subject to state laws such as the California Consumer Privacy Act (CCPA) and its related regulations, and the California Privacy Rights Act (CPRA), which establish data privacy rights for California residents, with corresponding obligations on businesses related to transparency, deletion, and opt-out of the selling of personal information, and grant a private right of action for individuals in the event of certain security breaches that has increased the likelihood of, and risks associated with, data breach litigation. The CPRA, which became effective on January 1, 2023, significantly modified the CCPA, including by expanding consumers’ rights with respect to certain sensitive personal information and imposing new audit requirements for higher risk data. The CPRA also created a state agency that is vested with authority to implement and enforce the CCPA and the CPRA, which could result in increased privacy and information security enforcement. Additional compliance investment and potential business process changes may also be required. Numerous similar laws, and other laws governing privacy and information security, such as Washington’s My Health, My Data Act, have been passed and continue to be proposed at the state and federal level, reflecting a trend toward more stringent privacy legislation in the United States. Certain state laws may be more stringent or broader in scope, or offer greater individual rights, with respect to confidential, sensitive, and personal information than federal, international, or other state laws, and such laws may differ from each other and have potentially conflicting requirements that would make compliance challenging, require us to expend significant resources to achieve compliance, and restrict our ability to process certain personal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clinical trial programs, including related regulatory filings, and research collaborations that we engage in outside the United States may implicate international laws and regulations concerning data protection, privacy, and security, including those governing various aspects of clinical research and, in the EU, the General Data Protection Regulation (GDPR). The GDPR imposes obligations in relation to the collection, use, sharing, disclosure, transfer, and other processing of data relating to an identifiable living individual within the European Economic Area (EEA), or “personal data,” including a principle of accountability and the obligation to demonstrate compliance through policies, procedures, training, and audit. The GDPR imposes stringent operational requirements for data controllers and data processors of personal data. Among other things, the GDPR requires that detailed notices be provided to clinical trial subjects and investigators, as well as maintenance of certain security levels for personal data and notification of data breaches or security incidents to appropriate data protection authorities or data subjects. Further, as a result of the UK’s withdrawal from the EU, we are required to comply with both the GDPR and the GDPR as incorporated into UK national law (UK GDPR) with respect to any clinical trial data generated from the EU and the UK, respectively, which may have differing requirements. Further, the UK implemented targeted amendments to its data protection framework through the UK Data (Use and Access) Act 2025 (UK Data Act), enacted on June 19, 2025, which has caused the UK’s data protection regime to deviate from the GDPR in certain respects. We may be subject to diverging requirements under EU member state laws and UK law, such as whether consent can be used as the legal basis for processing of clinical trial data and the roles, responsibilities, and liabilities and respective data protection obligations as between CROs, clinical trial sites, and sponsors. As these laws develop and the rules diverge, we may need to make operational changes to adapt, which could increase our costs and adversely affect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GDPR and UK GDPR regulate cross-border transfers of personal data out of the EEA and the UK, respectively. Recent legal developments in Europe have created complexity and uncertainty regarding the legality of and requirements with respect to transfers of personal data from the EEA and UK to the United States and other countries in which we or our partners or service providers may operate. Case law from the Court of Justice of the European Union (CJEU) states that reliance on the standard contractual clauses, which are a standard form of contract approved by the European Commission as an adequate personal data transfer mechanism, alone may not necessarily be sufficient in all circumstances and that transfers must be assessed on a case-by-case basis. We currently rely and expect to rely in the future on the EU standard contractual clauses, the UK Addendum to the EU standard contractual clauses, and the UK International Data Transfer Agreement, as applicable, to transfer personal data outside of the EEA and the UK, including to the United States. Following a period of legal complexity and uncertainty regarding international personal data transfers, particularly to the United States, we expect that the regulatory guidance and enforcement landscape will continue to develop in relation to transfers to the United States and elsewhere. For example, the European Commission has renewed the UK’s adequacy decision through December 2031 after assessing the UK Data Act, but such adequacy determination remains subject to potential revocation or modification. The United States also instituted rules, effective April 8, 2025, that prohibit or restrict certain transactions involving sensitive data and specific countries of concern, including China, and, among other requirements, may require United States businesses to seek assurances that foreign parties will not further share sensitive data with parties in countries of concern. As a result of these or other developments relating to cross-border data transfers, we may have to make certain operational changes and implement revised standard contractual clauses and other relevant documentation for data transfers within required time frames. If we are unable to transfer personal data between and among countries and regions in which we or our partners, collaborators, vendors, or clinical trial sites operate, or face restrictions in doing so, it could adversely affect the manner in which we operate our business, affect the geographical location or segregation of our relevant systems and operations, and adversely affect our financial results.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laws and regulations may also apply to service providers and vendors that store or otherwise process personal data on our behalf, such as CROs and other service providers that may support the conduct of our clinical trials and information technology or other vendors. If our policies, controls, or other measures fail or are alleged to fail to comply with applicable laws or regulations relating to privacy, data protection, or security, or if a service provider or vendor misuses data we have provided to it or fails to safeguard such data, or otherwise fails to comply with such laws, we may be subject to litigation, regulatory investigations, enforcement notices, or enforcement actions imposing fines or requiring us to change the way we use personal data, as well as negative publicity, reputational harm, and potential loss of business. Failure to comply with the GDPR could result in penalties. Since we may be subject to the supervision of relevant data protection authorities under both the GDPR and the UK GDPR, we could be fined under each of those regimes independently in respect of the same breach. Penalties for certain breaches are up to the greater of €20 million (£17.5 million) or 4% of our global annual turnover. In addition to fines, GDPR noncompliance may result in regulatory investigations, reputational damage, orders to cease or change our data processing activities, enforcement notices, assessment notices for a compulsory audit, or civil claims, including class actions. If and as we continue to expand certain of our operations into foreign countries and jurisdictions, we may be subject to additional laws and regulations that may affect how we conduct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we will need to expend significant capital and other resources to ensure ongoing compliance with applicable data laws and regulations relating to data protection, privacy, and security. Claims that we have violated individuals’ privacy rights or breached our contractual obligations related to these matters, even if we are not found liable, could be expensive and time-consuming to defend and could result in negative publicity that could harm our business. Moreover, even if we take all necessary action to comply with legal and regulatory requirements, we could be subject to a data breach or other unauthorized access to personal information, which could subject us to fines and penalties, as well as litigation and reputational damage.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fail to keep apprised of and comply with applicable international, federal, state, or local legal and regulatory requirements and changes thereto, we could be subject to a range of legal or regulatory actions that could affect our or any collaborators’ ability to develop and seek to commercialize our product candidates. Any threatened or actual government enforcement action, or litigation when private rights of action are available, could also generate negative publicity, damage our reputation, result in liabilities, fines, and loss of business, and require that we devote substantial resources that could otherwise be used in support of other aspects of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and third parties involved in our operations are subject to United States and certain foreign laws and regulations relating to export and import controls, sanctions, embargoes, anti-corruption, and anti-money laundering. Compliance with these legal standards could impair our ability to compete in domestic and international markets. We could face criminal liability and other serious consequences for violations, which would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export control and import laws and regulations, including the United States Export Administration Regulations, United States Customs regulations, various economic and trade sanctions regulations administered by the United States Treasury Department’s Office of Foreign Assets Controls, the United States Foreign Corrupt Practices Act of 1977, as amended (FCPA), the United States domestic bribery statute contained in 18 U.S.C. § 201, the United States Travel Act, the USA PATRIOT Act, and other state and national anti-bribery and anti-money laundering laws in the countries in which we conduct activities. International trade, tariff, and import/export laws and regulations may require us to obtain licenses or permits and take other actions in order to complete certain activities necessary for the research, manufacture, and development of our product candidates. Moreover, we expect such laws and regulations, along with associated guidance and interpretations, to evolve over time in ways that may impact various aspects of our business. The process for obtaining any necessary licenses or permits and otherwise complying with applicable legal and regulatory requirements may be lengthy and time-consuming, and if we are not able to obtain any such licenses or permits or otherwise comply with such requirements in a timely manner, we may experience delays in our ability to manufacture, develop, and commercialize our product candidates. Anti-corruption laws are interpreted broadly and prohibit companies and their employees, agents, contractors, collaborators, and other third parties from authorizing, promising, offering, or providing, directly or indirectly, improper payments or anything else of value to recipients in the public or private sector. We may engage third parties to sell products, if any, for which we receive regulatory approval outside the United States, to conduct clinical trials or other activities on our behalf, or to obtain necessary permits, licenses, patent registrations, and other regulatory approvals. In the ordinary course of our business, we may have direct or indirect interactions with officials and employees of government agencies or government-affiliated hospitals, universities, and other organizations. We may be held liable for the corrupt or other illegal activities of our employees, agents, contractors, collaborators, and other third parties,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particular, there is currently significant uncertainty about the future relationship between the United States and various other countries, in particular China, with respect to trade policies, including sanctions, treaties, tariffs, taxes, regulatory requirements, and other limitations on cross-border operations, including due to government administration policy changes that have occurred or may occur in the future. The United States government has and continues to make significant additional changes in United States trade policy and may continue to take future actions that could negatively impact United States trade. For example, the United States government has indicated its intent to modify United States trade policy and, in some cases, to renegotiate, or potentially terminate, certain existing bilateral or multi-lateral trade agreements. In addition, the United States continues to implement new, reinstated, or adjusted tariffs on a broad array of items from almost all trading partners under various legal authorities, including the International Emergency Economic Powers Act (IEEPA), Sections 122 and 301 of the Trade Act of 1974, Section 232 of the Trade Expansion Act of 1962, and Section 338 of the Tariff Act of 1930, and we expect that this practice may continue. For example, since July 2026, the United States government has imposed a new tariff of up to 100% on certain patented and branded pharmaceuticals and associated pharmaceutical ingredients. Further, the United States Department of Commerce has initiated additional Section 232 investigations into national security risks associated with the import of certain additional commodities, the United States government has announced plans to implement additional Section 232 tariffs on the import of generic medicines beginning in August 2028, and the Office of the USTR has initiated investigations under Section 301 of the Trade Act of 1974 into the trade policies and actions of numerous United States trading partners. The findings of these investigations, or future investigations under these or other authorities, could eventually support the imposition of additional tariffs. The extent and duration of any tariffs, the uncertainty around their implementation and the timing thereof, and the resulting impact on general economic conditions and on our business are uncertain and will depend on various factors, such as negotiations between the United States and other countries, the response of such countries, exemptions or exclusions that may be granted, and the availability and cost of alternative sources of supply of materials and other items that we or third parties we work with may import from affected countries. We cannot predict what actions may ultimately be taken with respect to trade relations between the United States and China or other countries, what interactions, including products or services, may be subject to such actions, or what actions may be taken by the other countries in retaliation. Any such actions by the United States government, including implementation or the threat of new tariffs, export controls, legislation, or regulations, if existing trade agreements are renegotiated, if the United States or other governments take retaliatory trade actions, or if any other similar changes occur, or if any of our interactions with parties affected by any such actions or changes become more costly or are limited or no longer possible, our business, liquidity, financial condition, or results of operations could be materially and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particular, trade restrictions, including tariffs, and other general economic or political conditions could increase the costs and limit the availability of items necessary for our supply chain, such as equipment, materials, or components that we may import into the United States, and could generally increase the expenses associated with our business, which could materially and adversely affect our results of operations, financial condition, and prospects. We may not be able to forecast such impacts accurately. Although we continue to work with our vendors, including our CDMOs, to mitigate our exposure to current or potential future tariffs and other trade restrictions, we cannot guarantee that we will be able to offset any increased costs or supply shortages or other disruptions. The ultimate impact of any trade restrictions will depend on various factors, including the timing of implementation and the duration, amount, scope, and nature of such trade restrictions, and if we are not successful in offsetting such impact, our operating results may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 parties involved in our operations, including CDMOs and other service providers, partners, and collaborators, may also be impacted by various laws, regulations, or other government actions, including those described above, compliance with or the effect of which could negatively impact the ability of these third parties to perform their obligations under our agreements with or otherwise harm our relationships with such third parties. For example, legislation known as the BIOSECURE Act was enacted in December 2025 as part of the 2026 National Defense Authorization Act, and places limitations on certain interactions with certain Chinese and other biotechnology firms that may pose a threat to United States national security, and additional proposals have been raised regarding executive actions to further limit Chinese service providers’ ability to engage in business in the United States. To the extent that any third parties involved in our operations are the subject of these or similar future laws or actions, our relationships with these third parties, and our programs and business generally, could be materially negatively impacted.</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Limited Operating History, Financial Condition, and Need for Additional Capital</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There is substantial doubt as to our ability to continue as a going concern. We may need additional financing to execute our business plan, to fund our operations, and to continue as a going concern. Our disclosure regarding the substantial doubt as to our ability to continue as a going concern may hinder our ability to obtain further financing.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our recurring operating losses and negative cash flows from operations and our dependence on and uncertainty around our ability to obtain additional financing to fund our operations after our current resources are exhausted, management has determined that our present capital resources may not be sufficient to fund our planned operations for at least one year from the date of this Quarterly Report, and there is substantial doubt as to our ability to continue as a going concern. Our ability to continue as a going concern will depend on our ability to obtain additional funding, and no assurances can be given that additional funding will be available to us on commercially reasonable terms, or at all. If we are unable to raise sufficient capital when needed, our business, financial condition, and results of operations will be materially and adversely affected, and we will need to modify our operational plans to continue as a going concern. If we are unable to obtain sufficient financing, we may be required to delay, reduce the scope of, or cease some or all of our research and development programs, or pursue strategic alternatives. Moreover, the reaction of investors to the inclusion of a going concern statement in our financial statements and our potential inability to continue as a going concern could adversely affect the price of our common stock and our ability to raise new capital or enter into collaborative or other transactions.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require additional funding to finance our operations. If we are unable to raise capital when needed, or on acceptable terms, we could be forced to delay, reduce, or eliminate some or all of our product development programs or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biopharmaceutical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if and as our ongoing activities grow in scope and breadth. Accordingly, we will need to obtain substantial additional funding in connection with our continuing operations. If we are unable to raise capital when needed or on attractive terms, we could be forced to delay, reduce, or eliminate certain research and development programs or any future commercialization efforts with respect to such programs, and our business, results of operations, and financial condition would be adversely affected.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September 30, 2026, we had $121.7 million in cash, cash equivalents, and marketable securities. As described elsewhere in this Quarterly Report, due to our recurring operating losses and negative cash flows from operations, management has determined that our present capital resources may not be sufficient to fund our planned operations for at least one year from the date of this Quarterly Report, raising substantial doubt as to our ability to continue as a going concern. Accordingly, we will need to raise additional funding in order to execute on our current business plans and strategy. As described elsewhere in these Risk Factors, we cannot guarantee that financing will be available in sufficient amounts or on terms acceptable to us, if at all, and the terms of any financing may adversely affect our stockholders. Moreover, we could use our capital resources more quickly than we currently expect, which could require us to seek additional funds sooner than planned, including through public or private equity or debt financings or other sources, such as strategic collaborations. Attempting to secure additional financing may divert our management from our day-to-day activities, which may adversely affect our ability to develop our product candidates, and the issuance of additional securities, whether equity, traditional debt, or other debt-like arrangements, by us, or the possibility of such issuance, may cause the market price of our shares to decline. In addition, we may seek additional capital due to favorable market conditions or strategic considerations even if we believe we have sufficient funds for our current or future operating plans.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capital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timing, progress, costs, and results of discovery, preclinical development, and clinical trials for our current or future product candidates, including the development of companion diagnostics to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scope of clinical trials required for regulatory approval of our current 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timing, and outcome of regulatory review of our current or future product candidates and any companion diagnostics to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timing, and scope of our manufacturing capabilities and our uses of our existing facilities, as well as costs associated with the manufacturing of clinical and commercial supplies of our current 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future commercialization activities, including manufacturing, marketing, sales, and distribution, for any of our product candidates for which we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existing, and establish new, strategic collaborations, licensing, or other arrangements and the financial terms of any such agreements, including the timing and amount of any future milestone, royalty, or other payments due under any such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revenue, if any, received from commercial sales of our product candidates for which we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expenses required to attract, hire, and retain skilled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global supply chain issues and changing rates of inflation on the costs of laboratory consumables, supplies, and equipment required for our ongoing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operating as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effectively manage the amount of cash used in our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 commercially viable pricing structure and obtain approval for coverage and adequate reimbursement from third-party, including government,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interruptions or delays resulting from global geo-political, economic, and other factors beyond our control;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 of competing technological and market developments;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acquire or invest in businesses, products, and technologies.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raise additional funds will depend on financial, economic, geo-political, and market conditions and other factors over which we may have no or limited control. Market volatility, including as a result of bank failures, and broader impacts on the global banking sector, geo-political and economic instability (including from the conflicts between Russia and Ukraine and in the Middle East), tensions in ex-U.S. (including U.S.-China) relations, and changes in government administration policy positions, or other factors, could also adversely impact our ability to access capital as and when needed. Furthermore, we hold significant balances of cash and cash equivalents, including as necessary to conduct our day-to-day operations, some of which are held in deposit accounts at commercial banks in excess of the government-provided deposit insurance, exposing such cash balances to additional risk of loss beyond our control. Additional funds may not be available when we need them, on terms and at a cost that are acceptable to us, or at all. If adequate funds are not available to us on a timely basis, or on terms and at a cost that are acceptable to us, we could be required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 limit, reduce, or terminate preclinical studies, clinical trials, or other research and development activities, or eliminate one or more of our development programs altogether, or otherwise restructure our operations or reduce our workforce;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 limit, reduce, or terminate our efforts to access manufacturing capacity or establish and operationalize any manufacturing facility we may operate, establish sales and marketing capabilities, or other activities that may be necessary to commercialize any product candidates for which we obtain regulatory approval, or reduce our flexibility in developing or maintaining our sales and marketing strategy with respect to any product candidates for which we obtain regulatory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as described elsewhere in these Risk Factors, we have conducted several portfolio prioritizations and associated workforce reductions in order to focus and consolidate our resources. We will require additional funding and other resources in order to expand preclinical development and initiate or continue clinical development for our product candidates, including if and as we seek strategic alternatives for certain of our programs.</w:t>
      </w:r>
    </w:p>
    <w:p>
      <w:pPr>
        <w:pStyle w:val="TextBody"/>
        <w:bidi w:val="0"/>
        <w:spacing w:before="360" w:after="283"/>
        <w:jc w:val="left"/>
        <w:rPr>
          <w:rFonts w:ascii="Times New Roman" w:hAnsi="Times New Roman"/>
          <w:sz w:val="20"/>
        </w:rPr>
      </w:pPr>
      <w:r>
        <w:rPr>
          <w:rFonts w:ascii="Times New Roman" w:hAnsi="Times New Roman"/>
          <w:b/>
          <w:i/>
          <w:color w:val="000000"/>
          <w:sz w:val="20"/>
        </w:rPr>
        <w:t>Raising additional capital may cause dilution to our stockholders, restrict our operations, or require us to relinquish rights to our technologies or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Until such time, if ever, as we can generate substantial product revenue, we expect to finance our operations with our existing cash, cash equivalents, and marketable securities, proceeds from equity or debt financings, including our at-the-market offering facility (the ATM facility), as described elsewhere in this Quarterly Report, and any future financings, and milestone, royalty, and other payments received under any future licenses, collaborations, or other arrangements. Additional capital may not be available on terms that are reasonable or acceptable to us, if at all. If we raise additional capital through the sale of equity or debt securities, existing stockholders’ ownership interests will be diluted, and the terms of these securities may include liquidation or other preferences that adversely affect the rights of our stockholders. In addition, any such issuance, or the possibility of such issuance, may cause the market price of our common stock to decline. Debt financing, if available, may result in increased fixed payment obligations and the existence of securities with rights that may be senior to those of our common stock, and involve agreements that include covenants limiting or restricting our ability to take specific actions, such as incurring additional debt, making capital expenditures, declaring dividends, or acquiring, selling, or licensing intellectual property rights or assets, which could adversely impact our ability to conduct our business. Equity financing, if available, may include restrictions on our use of proceeds. For example, as described elsewhere in this Quarterly Report, pursuant to our stock purchase agreement with Mayo Clinic, we agreed to use the net proceeds from the sale of shares of our common stock under the agreement for the development of products upon which an affiliate of Mayo Clinic has the right to receive royalties pursuant to a collaboration and license agreement between us and such affiliate (the License Agreement), including SC451 and certain genetically modified stem-cell derived islet cell products, as set forth in the License Agreement. We may experience similar or more onerous restrictions on use of proceeds in future financings.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raise additional funds through collaborations, strategic alliances, or marketing, distribution, or licensing arrangements with third parties, we may have to relinquish valuable rights to our intellectual property, technologies, future revenue streams, or product candidates or grant licenses on terms that may not be favorable to us. We could also be required to seek funds through arrangements with collaborators or others at an earlier stage than otherwise would be desirable. Any of these occurrences may have a material adverse effect on our business, operating results, and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incurred significant losses since our inception, and we expect to incur losses for the foreseeable future. We have no products approved for commercial sale and may never achieve or maintain profitability.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have a limited operating history. Biotechnology product development is a highly speculative undertaking and involves a substantial degree of risk. We have incurred significant losses since inception, have not generated any revenue from product sales, and have financed our operations historically through several equity financings. We expect that it will be several years, if ever, before we have a commercialized product and generate revenue from product sales. We had net losses of $90.4 million and $185.3 million for the nine months ended September 30, 2026 and 2025, respectively. As of September 30, 2026, we had an accumulated deficit of $1.9 billion, which includes cumulative non-cash charges related to the revaluation of our success payment liabilities and contingent consideration of $14.2 million and $44.1 million, respectively. Our losses have resulted principally from expenses incurred for the research and development of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platforms, management and administrative costs, and other expenses incurred while building our business infrastructure.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our historical portfolio prioritizations have been designed to decrease our operating losses and expenses, other than with respect to one-time charges, our operating losses and expenses may increase over the longer term if our future clinical trials are successful and if we expand our research and development efforts. Our operating losses and expenses are, and will in the future likely be, driven by our ongoing operations and our potential future expanded operations, including if and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our research and development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advance and expand the capabilities of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platforms;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preclinical development of our current product candidates and initiate additional preclinical studies, including with respect to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commence and advance through clinical studies of our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establish our manufacturing capabilities, including through CDMOs;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acquire and license technologies aligned with our </w:t>
      </w:r>
      <w:r>
        <w:rPr>
          <w:rFonts w:ascii="Times New Roman" w:hAnsi="Times New Roman"/>
          <w:i/>
          <w:color w:val="000000"/>
          <w:sz w:val="20"/>
        </w:rPr>
        <w:t xml:space="preserve">ex vivo </w:t>
      </w:r>
      <w:r>
        <w:rPr>
          <w:rFonts w:ascii="Times New Roman" w:hAnsi="Times New Roman"/>
          <w:color w:val="000000"/>
          <w:sz w:val="20"/>
        </w:rPr>
        <w:t xml:space="preserve">and </w:t>
      </w:r>
      <w:r>
        <w:rPr>
          <w:rFonts w:ascii="Times New Roman" w:hAnsi="Times New Roman"/>
          <w:i/>
          <w:color w:val="000000"/>
          <w:sz w:val="20"/>
        </w:rPr>
        <w:t>in vivo</w:t>
      </w:r>
      <w:r>
        <w:rPr>
          <w:rFonts w:ascii="Times New Roman" w:hAnsi="Times New Roman"/>
          <w:color w:val="000000"/>
          <w:sz w:val="20"/>
        </w:rPr>
        <w:t xml:space="preserve"> cell engineering platforms;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approval of our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collaborate with third parties to support the development and regulatory approval of companion diagnostics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engage in commercialization activities, including product manufacturing, marketing, sales, and distribution for any of our product candidates for which we obtain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our operational, financial, and management systems and increase personnel, including those required to support our preclinical and clinical development, manufacturing, and potential future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develop, prosecute, and defend our intellectual property portfolio;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incur legal, accounting, and other expenses to operate our business, including the costs associated with operating as a public company.</w:t>
      </w:r>
    </w:p>
    <w:p>
      <w:pPr>
        <w:pStyle w:val="TextBody"/>
        <w:bidi w:val="0"/>
        <w:jc w:val="left"/>
      </w:pPr>
      <w: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have devoted a significant portion of our financial resources and efforts to building our organization, developing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platforms, identifying and developing potential product candidates, executing preclinical studies, establishing manufacturing capabilities, preparing for and commencing clinical trials of our product candidates, acquiring technologies, organizing and staffing the company, business planning, establishing and maintaining our intellectual property portfolio, raising capital, and providing general and administrative support for these operations. We are in the early stages of development of our product candidates and have not completed development or commercialization of any product candidate.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become and remain profitable, we must succeed in identifying, developing, obtaining regulatory approval for, and eventually commercializing products that generate significant revenue. This will require us to be successful in a range of challenging activities, including completing preclinical studies and clinical trials of our product candidates, continuing to discover and develop additional product candidates, manufacturing our product candidates, including accessing manufacturing capacity, obtaining regulatory approval for any product candidates that successfully complete clinical trials, establishing marketing capabilities, and commercializing and ultimately selling any products for which we may obtain regulatory approval. We may never succeed in any or all of these activities and, even if we do, we may never generate revenue that is sufficient to achieve profitability. Even if we do achieve profitability, we may not be able to sustain profitability or meet outside expectations for our profitability. If any of the foregoing events were to occur, the value of our shares of common stock could be materially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the numerous risks and uncertainties associated with biopharmaceutical product development, we are unable to accurately predict the timing or increases in the amount of expenses we will incur or when, or if, we will be able to achieve profitability. If we are required by the FDA or comparable foreign regulatory authorities to perform studies in addition to those we currently anticipate, or if there are any delays in commencing or completing our clinical trials or the development of any of our product candidates, our expenses could increase and our ability to obtain commercial revenue could be further delayed and become more uncertain, which will have a material adverse impact on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Our success payment and contingent consideration obligations in our license and acquisition agreements may result in dilution to our stockholders, drain our cash resources, or require us to incur debt to satisfy the payment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agreed to make success payments, payable in cash, pursuant to our license agreement with Harvard and contingent consideration and a success payment, payable in cash or stock, pursuant to our acquisition agreement with Cobalt. Pursuant to the terms of our license agreement with Harvard, we may be required to make up to an aggregate of $175.0 million in success payments to Harvard (Harvard Success Payments), payable in cash, based on increases in the per share fair market value of our common stock. The potential Harvard Success Payments are based on multiples of increasing value ranging from 5x to 40x based on a comparison of the per share fair market value of our common stock relative to the original issuance price of $4.00 per share at ongoing pre-determined valuation measurement dates. The Harvard Success Payments can be achieved over a maximum of 12 years from the effective date of the agreement. If a higher success payment tier is met at the same time a lower tier is met, both tiers will be owed. Any previous Harvard Success Payments made are credited against the Harvard Success Payment owed as of any valuation measurement date so that Harvard does not receive multiple success payments in connection with the same threshold. As of September 30, 2026, a Harvard Success Payment had not been triggered. See Note 5, License and collaboration agreements to our condensed consolidated financial statements included elsewhere in this Quarterly Report for more details on the various per share common stock values that trigger a Harvard Success Payment.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terms of the Cobalt acquisition agreement, which was amended in August 2026, we are obligated to pay to certain former Cobalt stockholders contingent consideration (Cobalt Contingent Consideration) of up to an aggregate of $500.0 million and a success payment (Cobalt Success Payment) of $500.0 million, each of which is payable in cash or stock. The August 2026 amendment restructured the Cobalt Contingent Consideration to (i) expand the Cobalt Contingent Consideration triggers to include both the achievement of specified development milestones and our receipt of payment from business development transactions involving the fusogen technology and (ii) reduce or defer the payment of certain milestone amounts until a change of control. The Cobalt Success Payment would become payable if our market capitalization equals or exceeds $8.1 billion, and we are advancing a product developed using the fusogen technology in a clinical trial pursuant to an IND, or are in the process of filing or have filed for, or received approval for, a BLA or new drug application for such product. The Cobalt Success Payment may alternatively become payable in connection with a change of control if at least one product developed using the fusogen technology is the subject of an active research program at the time of such change of control. If our market capitalization is below certain threshold amounts as of the date of a change of control, the amount of the Cobalt Success Payment will decrease, and the amount of potential Cobalt Contingent Consideration will increase, as described in Note 4, Acquisitions to our condensed consolidated financial statements included elsewhere in this Quarterly Report. The Cobalt Success Payment may become payable over a maximum of 20 years from the date of the acquisition. As of September 30, 2026, no Cobalt Contingent Consideration or Cobalt Success Payment had been triggered.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order to satisfy our obligations to make these payments, if and when they are triggered, we may issue equity, which may cause dilution to our stockholders, or we may use our existing cash or incur debt to satisfy the payment obligations in cash, which may adversely affect our financial position. Further, any amounts that may become payable in connection with a change of control, including the Cobalt Success Payment, certain Cobalt Contingent Consideration, and certain Harvard Success Payments, could reduce the potential value of such change of control for our stockholders. In addition, these payments may impede our ability to raise money in future public offerings of debt or equity securities or to obtain a third-party line of credit.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i/>
          <w:color w:val="000000"/>
          <w:sz w:val="20"/>
        </w:rPr>
        <w:t>The contingent consideration and success payment obligations in our license and acquisition agreements may cause our operating results, net income or loss, and financial condition as reported by United States generally accepted accounting principles to fluctuate significantly from period to period, which may limit the usefulness of our financial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payment and contingent consideration obligations under our license and acquisition agreements are recorded as liabilities on our balance sheets. Under United States generally accepted accounting principles (GAAP), we are required to estimate the fair value of these liabilities at the end of each quarter, with changes in their estimated fair value recorded in research and development-related success payments and contingent consideration. Factors that may affect the estimated fair value of the success payment liabilities include, among others, changes in the value of our common stock and market capitalization, changes in volatility, the estimated number and timing of valuation measurement dates, the term of the success payments, and changes in the risk-free interest rate. Factors that may affect the estimated fair value of our contingent consideration obligations include, among others, the estimated likelihood and timing of achieving milestones, the estimated amount, likelihood, and timing of our receipt of payments from business development transactions involving the fusogen technology, and the estimated discount rates. Small changes in the inputs and assumptions used to value our success payment and contingent consideration liabilities may result in relatively large changes in their estimated fair values and the related expense or gain. As a result, our GAAP operating results, net income or loss, and financial condition may fluctuate significantly from period to period for reasons unrelated to our underlying operating performance, which may limit the usefulness of our reported results in evaluating our financial performance and comparing results across periods.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September 30, 2026 and December 31, 2025, the estimated aggregate fair value of the Cobalt Success Payment and Harvard Success Payment liabilities was $16.6 million and $19.2 million, respectively, and the estimated fair value of the Cobalt Contingent Consideration was $95.4 million and $123.7 million, respectively. For the three months ended September 30, 2026, we recorded gains of $7.6 million and $0.3 million, respectively, related to the changes in the estimated fair value of the Cobalt Success Payment and Harvard Success Payment liabilities. For the three months ended September 30, 2026, we recorded a gain of $55.5 million related to the change in the estimated fair value of the Cobalt Contingent Consideration, which was primarily driven by changes to the inputs and assumptions used to value the Cobalt Contingent Consideration as a result of the August 2026 amendment to the Cobalt acquisition agreement. These gains contributed to our net income for the quarter.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may report net income for a particular period, we have incurred significant net losses since inception and expect to continue to incur net losses for the foreseeable future. Future fluctuations in the factors affecting the valuation of our success payment and contingent consideration liabilities could affect their estimated fair values. The resulting gains could cause us to report net income in a future period despite incurring operating losses and negative cash flows during that period. Alternatively, significant stock appreciation or other changes in valuation inputs and assumptions could increase these liabilities and significantly increase our reported GAAP net loss. </w:t>
      </w:r>
    </w:p>
    <w:p>
      <w:pPr>
        <w:pStyle w:val="TextBody"/>
        <w:bidi w:val="0"/>
        <w:spacing w:before="360" w:after="283"/>
        <w:jc w:val="left"/>
        <w:rPr>
          <w:rFonts w:ascii="Times New Roman" w:hAnsi="Times New Roman"/>
          <w:sz w:val="20"/>
        </w:rPr>
      </w:pPr>
      <w:r>
        <w:rPr>
          <w:rFonts w:ascii="Times New Roman" w:hAnsi="Times New Roman"/>
          <w:b/>
          <w:i/>
          <w:color w:val="000000"/>
          <w:sz w:val="20"/>
        </w:rPr>
        <w:t>Our limited operating history may make it difficult to evaluate our prospects and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have a limited operating history upon which to evaluate our business and prospects. Since our inception in July 2018, we have devoted substantially all of our resources and efforts to building our organization, developing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platforms, identifying and developing potential product candidates, executing preclinical studies, establishing manufacturing capabilities, preparing for and conducting clinical trials of our product candidates, acquiring technologies, organizing and staffing the company, business planning, establishing and maintaining our intellectual property portfolio, raising capital, and providing general and administrative support for these operations. We have not yet demonstrated our ability to successfully complete any clinical trials, including Phase 3 or other pivotal clinical trials, obtain regulatory approvals, manufacture a commercial-scale product or arrange for a third party to do so on our behalf, or conduct sales and marketing activities necessary for successful product commercialization. Additionally, we expect our financial condition and operating results to continue to fluctuate significantly from period to period due to a variety of factors, many of which are beyond our control. Consequently, predictions about our future success or viability are difficult to make and may not be as accurate as they could be if we had a longer operating history.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operate in highly competitive and rapidly changing industries, which may result in others discovering, developing, or commercializing competing products before or more successfully than we do.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biotechnology and pharmaceutical industries are highly competitive and subject to significant and rapid technological change. Our success is highly dependent on our ability to discover, develop, and obtain marketing approval for new and innovative products on a cost-effective basis and to market them successfully. In doing so, we face and will continue to face intense competition from a variety of businesses, including large pharmaceutical companies, biotechnology companies, academic institutions, government agencies, and other public and private research organizations. These organizations may have significantly greater resources than we do and conduct similar research, seek patent protection, and establish collaborative arrangements for research, development, manufacturing, and marketing of products that compete with our product candidates. Smaller and other early-stage companies may also prove to be significant competitors, particularly through collaborative arrangements with large and established companies. Mergers and acquisitions in the pharmaceutical and biotechnology industries may result in even more resources, including intellectual property that may be necessary or useful for the development and commercialization of our product candidates, being concentrated in our competitors and becoming unavailable to us on commercially reasonable terms or at all. Competition may increase further as a result of advances in the commercial applicability of technologies and greater availability of capital for investment in these industries.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With the proliferation of new drugs and therapies for our target indications, and as new technologies become available, we expect to face increasingly intense competition. If we fail to stay at the forefront of technological change, we may be unable to compete effectively. Any product candidates that we successfully develop and are able to commercialize, including those for the treatment of type 1 diabetes, B-cell cancers, and B-cell mediated autoimmune diseases, will compete with existing therapies and new therapies that may become available in the future, which may include CAR T, cellular, antibody, small molecule, and other types of therapies. The highly competitive nature of and rapid technological changes in the biotechnology and pharmaceutical industries could render our product candidates or our technologies obsolete, less competitive, or uneconomical. Our competitors may,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have significantly greater financial, manufacturing, marketing, drug development, technical, and human resources than we have;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 and commercialize products that are safer, more effective, less expensive, more convenient, or easier to administer, or have fewer or less severe side effects than any products for which we may obtain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 obtain regulatory approval for, and commercialize products more quickly than we do, including due to differences in regulatory approval processes across the jurisdictions in which we and our competitors operate;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proprietary positions covering our products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implement more effective approaches to sales and marketing;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form more advantageous strategic alliances.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business, financial condition, and results of operations could be materially adversely affected by any of the foregoing events.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our potential future collaborators may decide to market and sell products that compete with the product candidates that are the subject of our collaboration, which could have a material adverse effect on our future business, financial condition, and results of operations. As described elsewhere in these Risk Factors and in the subsection titled “Business—Competition” in our 2025 Annual Report, we currently and in the future will compete with third parties in the development and commercialization of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i/>
          <w:color w:val="000000"/>
          <w:sz w:val="20"/>
        </w:rPr>
        <w:t>Market opportunity and market growth for our product candidates may prove to be smaller than we initially estimated, and even if the markets in which we compete achieve the forecasted growth, our business may not grow at similar rates or at all, or we may otherwise be unable to capitalize on this opportunity.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initially focus our product candidate development on treatments for various diseases caused by missing or damaged cells. Our projections of addressable patient populations within any particular disease state that may benefit from treatment with our product candidates are based on our estimates. Market opportunity estimates and growth forecasts are subject to significant uncertainty and are based on assumptions and estimates. These estimates, which have been derived from a variety of sources, including scientific literature, surveys of clinics, patient foundations, and market research, may prove to be incorrect. Further, new studies may change the estimated incidence or prevalence of these diseases. Additionally, the potentially addressable patient population for our product candidates may not ultimately be amenable to treatment with our product candidates, including if the cost of treatment with our product candidates, including any required co-payments, is expensive or higher than other available therapies. Our market opportunity may also be limited by future competitor therapies that enter the market. In addition, because we may develop one or more product candidates as a functional cure for a target disease, the prevalence of such disease may decrease over time and we may not receive recurring revenues from sales of such product candidate, if approved. If any of our estimates proves to be inaccurate, the market opportunity for any product candidate that we or our strategic partners develop could be significantly diminished, which would have an adverse material impact on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particular, certain of our product candidates may be intended to treat cancer, and, in particular, B-cell cancers. Cancer therapies are sometimes characterized as first-line, second-line, or third-line and beyond, and the FDA often approves new therapies initially only for a particular line of use. When cancer is detected early enough, first-line therapy is sometimes adequate to cure the cancer or prolong life without a cure. Whenever first-line therapy, which usually consists of chemotherapy, antibody drugs, tumor-targeted small molecules, hormone therapy, radiation therapy, surgery, or a combination of these, proves unsuccessful, second-line therapy may be administered. Second-line therapies often consist of more chemotherapy, antibody drugs, tumor-targeted small molecules, radiation therapy, or a combination of these. Third-line therapies can include chemotherapy, antibody drugs, and small molecule tumor-targeted therapies, more invasive forms of surgery, and new technologies. The use of certain classes of therapies, including CAR T therapies, has been limited to a subset of patients with relapsed or refractory disease. Our projections of both the number of people who have the cancers we are targeting, as well as the subset of people with these cancers who are in a position to receive a particular line of therapy and who have the potential to benefit from treatment with our product candidates, are based on our beliefs and estimates. Consequently, even if our product candidates are approved for a later line of therapy, the number of patients that may be eligible for treatment with our product candidates may turn out to be much lower than expected.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even if the market opportunity for our product candidates achieves or exceeds the level and growth we anticipate, we may be unable to grow our business at the rate or in the manner necessary to successfully capitalize on this opportunity, including due to limited financial, personnel, and other resources. Our ability to successfully commercialize our product candidates will also be affected by numerous factors beyond our control, including limitations on third-party resources and infrastructure and other factors discussed in these Risk Factors.</w:t>
      </w:r>
    </w:p>
    <w:p>
      <w:pPr>
        <w:pStyle w:val="TextBody"/>
        <w:bidi w:val="0"/>
        <w:spacing w:before="360" w:after="283"/>
        <w:jc w:val="left"/>
        <w:rPr>
          <w:rFonts w:ascii="Times New Roman" w:hAnsi="Times New Roman"/>
          <w:sz w:val="20"/>
        </w:rPr>
      </w:pPr>
      <w:r>
        <w:rPr>
          <w:rFonts w:ascii="Times New Roman" w:hAnsi="Times New Roman"/>
          <w:b/>
          <w:i/>
          <w:color w:val="000000"/>
          <w:sz w:val="20"/>
        </w:rPr>
        <w:t>We currently have no marketing, sales, or distribution infrastructure and we intend to either establish a sales and marketing infrastructure or outsource this function to a third party. Each of these commercialization strategies carries substantial risks to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have no marketing, sales, or distribution capabilities because all of our product candidates are in the early stages of development. If one or more of our product candidates complete clinical development and receive regulatory approval, we intend to either establish a sales and marketing organization with technical expertise and supporting distribution capabilities to commercialize our product candidates in a legally compliant manner, or to outsource this function to a third party, both of which involve significant risks.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elect to establish our own sales and marketing capabilities, we will incur significant additional costs, including to hire and retain qualified personnel to build out the organization, and we may be unable to build out this organization in a way that will enable us to successfully market our products and generate revenues. If we elect to enter into arrangements with third parties to perform sales and marketing with respect to our product candidates, we may be unable to identify suitable partners, and even if we do identify such partners, we may be unable to negotiate the terms of such arrangement in a timely manner or at all, which could delay our marketing efforts and our ability to generate revenues. To the extent that we are able to enter into collaboration agreements with respect to marketing, sales, or distribution, our product revenue may be lower than if we directly marketed or sold any approved products. Such collaborative arrangements with partners may place the commercialization of our products outside of our control and would subject us to a number of risks, including that we may not be able to control the amount or timing of resources that our collaborator devotes to our products or that our collaborator’s willingness or ability to complete its obligations, and our ability to complete our obligations under these arrangements, may be adversely affected by business combinations or significant changes in our collaborator’s business strategy. If we are unable to enter into these arrangements on acceptable terms, or at all, we may not be able to successfully commercialize any products for which we receive regulatory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not successful in commercializing any approved products, either on our own or through collaborations with one or more third parties, our ability to generate product revenue will suffer and we may incur significant additional losses, which would have a material adverse effect on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Our product candidates for which we intend to seek approval as biologic products may face competition sooner than anticipated.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applicant’s own preclinical data and data from adequate and well-controlled clinical trials to demonstrate substantial evidence that such product provides benefits that outweigh its known and potential risks for the intended patient population, as well as data that demonstrate that such product can be manufactured to a pre-defined standard.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any of our product candidates that may be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Other aspects of the BPCIA, some of which may impact the BPCIA exclusivity provisions, have also been the subject of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Jurisdictions outside the United States have also established abbreviated pathways for regulatory approval of biological products that are biosimilar to earlier approved reference products. For example, the EU has had an established regulatory pathway for biosimilars since 2004. However, biosimilars can only be authorized once the period of data exclusivity on the reference biological medicine has expired.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increased likelihood of biosimilar competition has increased the risk of loss of innovators’ market exclusivity. As a result of this and uncertainties regarding patent protection, we are not currently able to predict with certainty the length of market exclusivity for any particular product candidate that may receive marketing approval based solely on the expiration of the relevant patent(s) or the current forms of regulatory exclusivity. There may also be future changes in United States regulatory law that might reduce biological product regulatory exclusivity. The loss of market exclusivity for any product for which we receive regulatory approval could materially and negatively affect or prevent our ability to generate revenues, which could prevent us from achieving or sustaining profitability.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Ownership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principal stockholders and management own a significant percentage of our stock and will be able to exert significant control over matters subject to stockholder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2026, our executive officers, directors, holders of 5% or more of our capital stock, and their respective affiliates, beneficially owned, in the aggregate, approximately 51.8% of our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to our organizational documents, or approval of any merger, sale of assets, or other major corporate transaction. This may prevent or discourage unsolicited acquisition proposals or offers for our common stock that other stockholders may feel are in their best interests. </w:t>
      </w:r>
    </w:p>
    <w:p>
      <w:pPr>
        <w:pStyle w:val="TextBody"/>
        <w:bidi w:val="0"/>
        <w:spacing w:before="360" w:after="283"/>
        <w:jc w:val="left"/>
        <w:rPr>
          <w:rFonts w:ascii="Times New Roman" w:hAnsi="Times New Roman"/>
          <w:sz w:val="20"/>
        </w:rPr>
      </w:pPr>
      <w:r>
        <w:rPr>
          <w:rFonts w:ascii="Times New Roman" w:hAnsi="Times New Roman"/>
          <w:b/>
          <w:i/>
          <w:color w:val="000000"/>
          <w:sz w:val="20"/>
        </w:rPr>
        <w:t>Future sales of our securities by us in the public market could cause our common stock price to fall.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any time in the future we may sell a large number of shares of our common stock or rights to acquire a large number of shares of our common stock. Such sales, or the perception that such sales could occur, could cause our common stock price to decline as a result of, among other things, dilution from these sales, including pursuant to the exercise or conversion of rights to acquire our common stock, or discounts to the trading price of our common stock associated with such sales. In addition, transactions involving a large number of shares of our common stock, or the possibility that these transactions may occur, may also make it more difficult for us to sell equity securities in the future at a time and price that we deem appropriate.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we will need significant additional capital in the future to support our planned operations, including conducting clinical trials, manufacturing, and other research and development activities, commercializing any product candidates for which we may obtain regulatory approval, and continuing to operate as a public company. To raise capital, we have sold and may in the future sell shares of our common stock, warrants, convertible securities, or other securities in one or more transactions at prices and in a manner we determine from time to time, including shares of common stock in the ATM facility and shares of common stock and pre-funded warrants in our August 2025 and February 2024 underwritten public offerings, as described elsewhere in this Quarterly Report. In the future, we may issue additional securities, including shares of common stock or other equity or debt securities convertible into common stock, in connection with the ATM facility, a financing, an acquisition, including the Cobalt acquisition, an employee arrangement, or otherwise. Any such issuance could result in substantial dilution to our existing stockholders, cause the price of our common stock to decline, and result in new investors gaining rights, preferences, and privileges senior to the holders of our common stock.</w:t>
      </w:r>
    </w:p>
    <w:p>
      <w:pPr>
        <w:pStyle w:val="TextBody"/>
        <w:bidi w:val="0"/>
        <w:spacing w:before="360" w:after="283"/>
        <w:jc w:val="left"/>
        <w:rPr>
          <w:rFonts w:ascii="Times New Roman" w:hAnsi="Times New Roman"/>
          <w:sz w:val="20"/>
        </w:rPr>
      </w:pPr>
      <w:r>
        <w:rPr>
          <w:rFonts w:ascii="Times New Roman" w:hAnsi="Times New Roman"/>
          <w:b/>
          <w:i/>
          <w:color w:val="000000"/>
          <w:sz w:val="20"/>
        </w:rPr>
        <w:t>Sales of a substantial number of shares of our common stock by our existing stockholders in the public market, or the perception that such sales could occur, could cause our stock price to fall.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existing stockholders sell, indicate an intention to sell, or there is a perception in the market that they intend to sell, a large number of shares of our common stock, the trading price of our common stock could decline. As of September 30, 2026, 299.5 million shares of our common stock were outstanding, which excludes shares of common stock issued upon exercise of outstanding equity awards, in each case, after September 30, 2026, and 43.3% of such shares were beneficially owned by holders of 5% or more of our common stock. In addition, shares of common stock that are either subject to outstanding options or reserved for future issuance under our employee benefit plans will become eligible for sale in the public market to the extent permitted by the provisions of various vesting schedules, applicable lock-up agreements, and Rule 144 and Rule 701 under the Securities Act of 1933, as amended (Securities Act). If these additional shares of common stock are sold, or there is a perception that they will be sold, in the public market, the trading price of our common stock could decline. Any sales of securities by these stockholders could have a material adverse effect on the trading price of our common stock.</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currently intend to pay dividends on our common stock and, consequently, our stockholders’ ability to achieve a return on their investment will depend on appreciation of the value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As a result, any investment return on our common stock will depend upon increases in the value of our common stock, which is not certain. </w:t>
      </w:r>
    </w:p>
    <w:p>
      <w:pPr>
        <w:pStyle w:val="TextBody"/>
        <w:bidi w:val="0"/>
        <w:spacing w:before="360" w:after="283"/>
        <w:jc w:val="left"/>
        <w:rPr>
          <w:rFonts w:ascii="Times New Roman" w:hAnsi="Times New Roman"/>
          <w:sz w:val="20"/>
        </w:rPr>
      </w:pPr>
      <w:r>
        <w:rPr>
          <w:rFonts w:ascii="Times New Roman" w:hAnsi="Times New Roman"/>
          <w:b/>
          <w:i/>
          <w:color w:val="000000"/>
          <w:sz w:val="20"/>
        </w:rPr>
        <w:t>Provisions in our amended and restated certificate of incorporation and our amended and restated bylaws and Delaware law might discourage, delay, or prevent a change in control of our company or changes in our management and, therefore, depress the market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staggered Board divided into three classes serving staggered three-year terms, such that not all members of the Board are elected at one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to issue new series of preferred stock without stockholder approval and create, subject to applicable law, a series of preferred stock with preferential rights to dividends or our assets upon liquidation, or with superior voting rights to our existing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eliminate the ability of our stockholders to call special meetings of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eliminate the ability of our stockholders to fill vacancies on our Board;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advance notice requirements for nominations for election to our Board or for proposing matters that can be acted upon by stockholders at our annual stockholder meetings;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permit our Board to establish the number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our Board is expressly authorized to make, alter, or repeal our bylaws;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stockholders can remove directors only for cause and only upon the approval of not less than 66 2/3% of all outstanding shares of our voting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the approval of not less than 66 2/3% of all outstanding shares of our voting stock to amend our bylaws and specific provisions of our certificate of incorporation;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 the jurisdictions in which certain stockholder litigation may be brought.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Delaware corporation, we are subject to the anti-takeover provisions of Section 203 of the Delaware General Corporation Law (DGCL), which prohibits a Delaware corporation from engaging in a business combination specified in the statute with an interested stockholder (as defined in the statute) for a period of three years after the date of the transaction in which the person first becomes an interested stockholder, unless the business combination is approved in advance by a majority of the independent directors or by the holders of at least two-thirds of the outstanding disinterested shares. The application of Section 203 of the DGCL could also have the effect of delaying or preventing a change of control of our company. </w:t>
      </w:r>
    </w:p>
    <w:p>
      <w:pPr>
        <w:pStyle w:val="TextBody"/>
        <w:bidi w:val="0"/>
        <w:spacing w:before="360" w:after="283"/>
        <w:jc w:val="left"/>
        <w:rPr>
          <w:rFonts w:ascii="Times New Roman" w:hAnsi="Times New Roman"/>
          <w:sz w:val="20"/>
        </w:rPr>
      </w:pPr>
      <w:r>
        <w:rPr>
          <w:rFonts w:ascii="Times New Roman" w:hAnsi="Times New Roman"/>
          <w:b/>
          <w:i/>
          <w:color w:val="000000"/>
          <w:sz w:val="20"/>
        </w:rPr>
        <w:t>Our amended and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provides that, unless we consent in writing to the selection of an alternative forum, the sole and exclusive forum, to the fullest extent permitted by law, for (i) any derivative action or proceeding brought on our behalf, (ii) any action asserting a claim of breach of a fiduciary duty owed by any director, officer, or other employee to us or our stockholders, (iii) any action arising pursuant to the DGCL, (iv) any action arising pursuant to our amended and restated certificate of incorporation or amended and restated bylaws, including with respect to the interpretation, application, enforcement, or validity thereof, or (v) any other action asserting a claim against us that is governed by the internal affairs doctrine, shall be the Court of Chancery of the State of Delaware (or another state court or the federal court located within the State of Delaware if the Court of Chancery does not have jurisdiction), in all cases subject to the court’s having jurisdiction over indispensable parties named as defendants. In addition, our amended and restated certificate of incorporation provides that the federal district courts of the United States will be the exclusive forum for resolving any complaint asserting a cause of action arising under the Securities Act, but that the forum selection provision will not apply to claims brought to enforce a duty or liability created by the Securities Exchange Act of 1934, as amended (Exchange Act), or any other claim for which the federal courts of the United States have exclusive jurisdiction.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believe these provisions benefit us by providing increased consistency in the application of Delaware law for the specified types of actions and proceedings, the provisions may have the effect of discouraging lawsuits against us or our directors and officers.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financial condition, and operating results.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Any person or entity purchasing or otherwise acquiring any interest in our shares of capital stock will be deemed to have notice of and consented to this exclusive forum provision, but will not be deemed to have waived our compliance with the federal securities laws and the rules and regulations thereunder.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use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Tax Cuts and Jobs Act of 2017 (Tax Act), as modified by the Coronavirus Aid, Relief, and Economic Stability Act (CARES Act), our federal net operating losses (NOLs) generated in tax years beginning after December 31, 2017, may be carried forward indefinitely, but the deductibility of such federal NOLs is limited to 80% of taxable income. In addition, under Sections 382 and 383 of the Internal Revenue Code of 1986, as amended (the Code), if a corporation undergoes an “ownership change,” generally defined as a greater than 50 percentage point change (by value) in its equity ownership by certain stockholders over a three-year period, the corporation’s ability to use its pre-change NOL and other pre-change tax attributes, such as research and development tax credits, to offset its post-change income or taxes may be limited. We may have experienced ownership changes in the past and may experience ownership changes as a result of subsequent shifts in our stock ownership, some of which are outside our control. As a result, our ability to use our pre-change NOLs and tax credits to offset post-change taxable income, if any, could be subject to limitations. Similar provisions of state tax law may also apply. In addition, at the state level, there may be periods during which the use of NOLs is suspended or otherwise limited, which could accelerate or permanently increase state taxes owed. As a result, even if we attain profitability, we may be unable to use and gain the benefit of a material portion of our NOLs and tax credits.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United States and foreign tax laws could have a material adverse effect on our business, cash flow, results of operations, or financial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tax laws, regulations, and policies of the United States federal, state, and local governments and of comparable taxing authorities in foreign jurisdictions. Changes in tax laws, and in the administration of such laws, could cause fluctuations in our effective tax rate, our cashflow, our operating results, or our reported financial condition. For example, beginning in 2022, the Tax Act eliminated the option to deduct research and development expenditures currently and requires taxpayers to capitalize and amortize those expenditures pursuant to Section 174 of the Code. The OBBBA revised these rules, permitting the deduction of certain United States research and development expenditures incurred in tax years beginning on or after January 1, 2025 on a current basis, but expenditures attributable to research and development conducted outside of the United States must continue to be capitalized and amortized over the 15-year period. We evaluated the impact of these provisions on our financial statements and concluded they do not have a material impact on our consolidated financial statements. If and when we become profitable, any new or changes to tax laws could adversely affect our effective tax rate, tax obligations, tax credits, including the orphan drug designation credit, or incentives.</w:t>
      </w:r>
    </w:p>
    <w:p>
      <w:pPr>
        <w:pStyle w:val="TextBody"/>
        <w:bidi w:val="0"/>
        <w:spacing w:before="360" w:after="283"/>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quarterly operating results may fluctuate significantly or may fall below the expectations of investors or securities analysts, each of which may cause our stock price to fluctuate or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our operating results to be subject to quarterly fluctuations. Our net loss and other operating results will be affected by numerous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timing and variations in the level of expense related to the current or future development of our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timing and status of enrollment for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or fluctuations in our stock price and market capitalization, which could impact the value of our contingent obligations and cause fluctuations in our operating expenses as a result of these non-cash adjustments;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impact of geo-political, economic, and other factors beyond our control on us or third parties with which we collaborate or that we engage;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clinical trials, or the addition or termination of such clinical trials or funding support by us or potential future partners or other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execution of any collaboration, licensing, or similar arrangements, or other agreements, including leases, sub-leases, or other agreements related to our facilities, and the timing of payments we may make or receive under, or the termination, modification, or breach of, any such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intellectual property infringement, misappropriation, or violation lawsuit or opposition, interference, post-grant proceeding, or cancellation proceeding in which we may become involved;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additions and departures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strategic decisions by us or our competitors, such as acquisitions, divestitures, spin-offs, joint ventures, strategic investments, or changes in business strategy;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global supply chain issues and inflation on the costs of laboratory consumables, supplies, and equipment required for our ongoing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product candidate we may develop receives regulatory approval, the timing and terms of such approval and market acceptance and demand for such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cost of establishing a sales, marketing, and distribution infrastructure to commercialize any products for which we may obtain marketing approval and intend to commercialize on our own or jointly with current or future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developments affecting current or future product candidates or those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 of expense or gain associated with the change in value of the success payments and contingent consideration;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general market and economic conditions.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 </w:t>
      </w:r>
    </w:p>
    <w:p>
      <w:pPr>
        <w:pStyle w:val="TextBody"/>
        <w:bidi w:val="0"/>
        <w:spacing w:before="360" w:after="283"/>
        <w:jc w:val="left"/>
        <w:rPr>
          <w:rFonts w:ascii="Times New Roman" w:hAnsi="Times New Roman"/>
          <w:sz w:val="20"/>
        </w:rPr>
      </w:pPr>
      <w:r>
        <w:rPr>
          <w:rFonts w:ascii="Times New Roman" w:hAnsi="Times New Roman"/>
          <w:b/>
          <w:i/>
          <w:color w:val="000000"/>
          <w:sz w:val="20"/>
        </w:rPr>
        <w:t>Our stock price may be volatile or may decline regardless of our operating performance, which may result in substantial losses for investors and may potentially subject us to securities class action litigation, which is expensive and could divert management’s attention.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price of our common stock, as well as investor perceptions of our business and its value, may be highly volatile and may fluctuate substantially as a result of a variety of factors, some of which are related in complex ways, and many of which are beyond our control, including the factors listed below and other factors described in these Risk Factors: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commencement of, enrollment in, or results of current and future preclinical studies and clinical trials we may conduct, or changes in the development status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delay in regulatory filings for our product candidates and any adverse development or perceived adverse development with respect to the applicable regulatory authority’s review of such filings, including the issuance by the FDA of a “refusal to file” letter or a request for additional information;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results or delays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perceptions regarding the significance of data from clinical trials involving our product candidates or technologies, particularly preliminary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decision to initiate a preclinical study or clinical trial, not to initiate a preclinical study or clinical trial, or to terminate an existing preclinical study or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actions taken by regulatory agencies with respect to our preclinical studies or clinical trials, manufacturing supply chain, or sales and marketing activities, including failure to receive regulatory approval of our product candidates or companion diagnostics to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laws or regulations, including preclinical study or clinical trial requirements for regulatory approvals worldwide;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changes to our relationship with manufacturers or suppliers;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supply, or distribution shortages;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to successfully commercialize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additions or departures of key scientific or management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unanticipated serious safety concerns related to the use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or other developments relating to proprietary rights, including patent rights, trade secrets, litigation matters, and our ability to obtain patent protection for our technologies or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variations in our results of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cash position;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to meet the estimates and projections of the investment community or that we may otherwise provide to the public;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publication of research reports about us or our industry, or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products in particular, or positive or negative recommendations or withdrawal of research coverage by securities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made by us or our competitors about new product candidates and programs, success, setbacks, or other updates related to product candidates and programs that exist or are under development, strategic transactions and relationships, such as acquisitions, collaborations, and joint ventures, or capital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establish or successfully maintain any collaborations or other strategic relationships, if needed;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effectively manage our future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and growth of our initial target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market valuations of similar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academic or other publications regarding our or adjacent industries, including regarding cell and gene therapy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press reports and other public disclosures by third parties, including through social media, whether or not true, about our business and the fields in which we operate;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or perceived potential sales of our common stock by us or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overall fluctuations in the equity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ineffectiveness of our internal controls;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accounting practices or principles;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or developments in the global legal and regulatory environment, including any new laws or regulations, or amendments to existing laws or regulations, that may impact the commercial environment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litigation involving us, our industry, or both, or investigations by regulators into our operations or those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political and economic conditions both within and outside the United States, including changes in interest rates, inflation, geo-political and economic instability (including from the conflicts between Russia and Ukraine and in the Middle East), tensions in ex-U.S. (including U.S.-China) relations, changes in government administration policy positions, and economic and tax policies announced by foreign countries;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events or factors, many of which are beyond our control.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stock market in general,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If the market price of our common stock does not exceed your purchase price, you may not realize any return on, and may lose some or all of, your investment. In addition, because the biotechnology industry is complex and subject to heightened risks as compared to many other industries, investors may be reluctant to place value in and invest in our company and choose instead to prioritize investment in other companies and industries, including those that may be perceived as more stable or that prioritize initiatives that may not be relevant to our industry or practical for us to prioritize at this stage in our development.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market price of our common stock has fluctuated since our initial public offering (IPO) and may continue in the future to be volatile. Securities class action litigation has often been instituted against companies following periods of volatility in the market price of a company’s securities. For example, as described elsewhere in this Quarterly Report, the pending litigation captioned </w:t>
      </w:r>
      <w:r>
        <w:rPr>
          <w:rFonts w:ascii="Times New Roman" w:hAnsi="Times New Roman"/>
          <w:i/>
          <w:color w:val="000000"/>
          <w:sz w:val="20"/>
        </w:rPr>
        <w:t>In re Sana Biotechnology, Inc., Securities Litigation</w:t>
      </w:r>
      <w:r>
        <w:rPr>
          <w:rFonts w:ascii="Times New Roman" w:hAnsi="Times New Roman"/>
          <w:color w:val="000000"/>
          <w:sz w:val="20"/>
        </w:rPr>
        <w:t>, No. 2:25-cv-00512-BJR, involves claims asserted against the defendants under Section 10(b) of the Exchange Act, including Rule 10b-5 promulgated thereunder, and Section 20(a) of the Exchange Act (the Securities Lawsuit). The defendants intend to vigorously defend themselves in the Securities Lawsuit, but there can be no assurances as to the outcome. This litigation, and any other future litigation that may be instituted, could result in substantial costs and a diversion of management’s attention and resources, which would harm our business, operating results, or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Market and economic conditions may negatively impact our business, financial condition, and share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Concerns about inflation, interest rates, energy costs, geo-political issues, the United States mortgage market and a declining real estate market, unstable global credit markets and financial conditions, and volatile oil prices have led to periods of significant economic instability, diminished liquidity and credit availability, declines in investment in industries perceived as complex or higher risk, such as biotechnology, declines in consumer confidence and discretionary spending, diminished expectations for the global economy and expectations of slower global economic growth going forward, increased unemployment rates, and increased credit defaults in recent years. Our general business strategy may be adversely affected by any such economic downturns, volatile business environments, and continued unstable or unpredictable economic and market conditions, including as a result of a prolonged government shutdown, or the perception or possibility that such a shutdown may occur. Adverse developments with respect to specific financial institutions or the broader financial services industry that have occurred or may occur in the future may lead to market-wide liquidity shortages, impair our ability to access near-term working capital needs, and create additional market and economic uncertainty. There can be no assurance that future credit and financial market instability and a deterioration in confidence in economic conditions will not occur, and we cannot predict the impact or follow-on effects of these insolvencies more broadly or on our business in particular. Further, there is no guarantee that the government will intervene to provide depositors with access to funds if similar events occur in the future. If other banks and financial institutions with which we have commercial relationships enter receivership or become insolvent in the future, our ability to access our existing cash, cash equivalents, and investments may be threatened, which could adversely affect our business and financial condition. If any of the events described occur, or if the market and economic conditions described above continue to deteriorate or do not improve, it may make any necessary debt or equity financing more difficult to complete, more costly, and more dilutive. Failure to secure any necessary financing in a timely manner and on favorable terms could have a material adverse effect on our growth strategy, financial performance, and stock price.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assess and prioritize our programs on an ongoing basis based on various factors, including internal and external opportunities and constraints, which may result in our decision to advance certain programs ahead or instead of others. Given the volatility in our stock price and the increased difficulty in accessing global credit markets and raising capital due to the market and economic conditions described above, we have adjusted our pipeline prioritization strategy and resource allocation in order to focus on the development of a limited number of programs that we believe have higher probabilities of success compared to other programs in our portfolio. In particular, we have or may in the future gate investment in our programs, with future investment dependent on our achievement of certain milestones. Even if our programs achieve the required milestones, development and potential commercialization of our product candidates may be delayed, which could materially harm our competitive position. Further, in order to manage resource constraints and extend our cash runway, we may be required to further adjust our pipeline prioritization strategy and resource allocation, including based on limited data. As a result, we may be required to delay or halt the development of potentially promising programs to focus our resources on a more limited number of programs that we believe have a higher probability of success. For example, as described elsewhere in this Quarterly Report, in November 2025, we conducted a portfolio prioritization to prioritize future development of our SC451 and SG293 programs and suspended development of our allogeneic cell therapy CAR T programs. Such decisions have, and in the future would, reduce the breadth and diversity of our portfolio and investments therein, potentially limit the long-term growth of our pipeline, and increase the risk and extent of the negative impact on our business if such programs are not successful.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rising rates of inflation in recent years have increased the costs associated with conducting our business, including by causing substantial increases in the costs of materials, including raw materials and consumables, equipment, services, and labor. Given that we do not currently generate revenue from sales of any of our product candidates, we do not have an ability to offset these increases in our costs. Moreover, given the unpredictable nature of the current economic climate, including future changes in rates of inflation, it may be increasingly difficult for us to predict and control our future expenses, which may harm our ability to conduct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We or the third parties upon whom we depend may be adversely affected by natural disasters, including earthquakes, fires, typhoons, and floods, public health epidemics, telecommunications or electrical failures, geo-political actions, including war and terrorism, political and economic instability, and other events beyond our control, and our business continuity and disaster recovery plans may not adequately protect us from a serious disaster.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partners, CROs, CDMOs, or other service providers, may experience interruptions to our operations, including the conduct of our research and development programs, clinical trials, and manufacturing operations, due to natural disasters, including earthquakes, fires, typhoons, and floods, public health epidemics, hardware, software, telecommunication or electrical failures, geo-political actions, including war and terrorism, political and economic instability, or other events beyond our control, which could significantly disrupt or harm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corporate headquarters and other facilities are located in areas that have experienced significant natural disasters, including the San Francisco Bay Area and Seattle, Washington, each of which has experienced severe effects from wildfires and, in the case of the San Francisco Bay Area, severe earthquakes. We do not carry earthquake insurance. Earthquakes, wildfires, or other natural disasters could severely disrupt our operations, and could materially and adversely affect our business, financial condition, results of operations, and prospects. If a natural disaster, electrical failure, or other event, such as facility contamination, occurs that prevents us from using all or a significant portion of our headquarters or other facilities, damages critical infrastructure, or otherwise disrupts operations, it may be difficult or, in certain cases, impossible, for us to continue our business for a substantial period of time. For example, a prolonged electrical failure could result in damage to or destruction of materials that are critical for our research and manufacturing operations, including our master cell banks, which would delay the advancement of our programs and materially harm our business, operating results, prospects, or financial condition. In addition, a failure of our computing systems could result in the loss of research or preclinical data important to our research or development programs, interrupt the conduct of ongoing research, or otherwise impair our ability to operate, which could delay the advancement of our programs or cause us to incur costs to recover or reproduce lost data. In addition, if in the future a natural disaster, power outage, or other event, such as facility contamination, occurred that prevented us from using all or a significant portion of any manufacturing capabilities we may have, we may not be able to manufacture sufficient supply of our product candidates required to conduct our clinical trials or commercialize our products in accordance with our timelines or at all. The disaster recovery and business continuity plans we currently have in place are limited and are unlikely to prove adequate in the event of a serious disaster or similar event. We may incur substantial expenses as a result of the limited nature of our disaster recovery and business continuity plans, which, together with our lack of earthquake insurance in particular, could have a material adverse effect on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Integral parties in our supply chain are similarly vulnerable to natural disasters or other sudden, unforeseen, and severe adverse events. In addition, our supply chain is vulnerable to changes in the geo-political and economic climate, including changes in relationships between the United States and countries from which we may need to source materials and other resources necessary for the preclinical evaluation of our product candidates, including animal models, and specifically non-human primate models, or to manufacture our product candidates, including raw and intermediate materials and consumables. If any such event or change were to affect our supply chain, it could have a material adverse effect on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Potential disruptions from a pandemic, epidemic, or infectious disease outbreak have in the past, and may in the future, include delays or disruptions in our research, preclinical, clinical, manufacturing, and regulatory activities, including due to limitations on employee or other resources both internally and at third parties, including government agencies, or delays in procuring, or inability to procure, necessary supplies, materials, and equipment. The extent to which a pandemic, epidemic, or other outbreak may impact our preclinical studies, clinical trials, business, financial condition, and results of operations will depend on future developments, which continue to be highly uncertain and unpredictable.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geo-political actions, such as the conflicts in Ukraine and the Middle East, trade restrictions, and the resulting political and economic instability, could negatively impact our operations. Although it is difficult to anticipate the impact of any of the foregoing on our company in particular, such geo-political actions, and any actions taken in response thereto, could increase our costs, disrupt our supply chain, impact our timelines, impair our ability to raise or access additional capital when needed on acceptable terms, if at all, or otherwise adversely affect our business, financial condition, and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If securities or industry analysts either do not publish research about us or publish inaccurate or unfavorable research about us, our business, our market, or our competitors, or if they adversely change their recommendations regarding our common stock, the trading price or trading volume of our common stock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is influenced in part by the research and reports that securities or industry analysts may publish about us, our business, our market, or our competitors. We do not have any control over the analysts or the content and opinions included in their research and reports. If one or more of these analysts issue an unfavorable rating or downgrade our common stock, provide a more favorable recommendation about our competitors, or publish inaccurate or unfavorable research about our business, our common stock price would likely decline. If any analyst who may cover us were to cease such coverage or fail to regularly publish reports on us, we could lose visibility in the financial markets and demand for our common stock could decrease, which could cause the trading price or trading volume of our common stock to decline.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an emerging growth company and a smaller reporting company, and any decision on our part to comply only with certain reduced reporting and disclosure requirements applicable to such companies could make our common stock less attractive to investors.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being required to have our independent registered public accounting firm audit our internal control over financial reporting under Section 404 of the Sarbanes-Oxley Act of 2002 (the Sarbanes-Oxley Act);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disclosure obligations regarding executive compensation in our periodic reports and annual reports on Form 10-K;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exemptions from the requirements of holding non-binding advisory votes on executive compensation and stockholder approval of any golden parachute payments not previously approved.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status as an emerging growth company will end as soon as any of the following takes place: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last day of the fiscal year in which we have more than $1.235 billion in annual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date we qualify as a “large accelerated filer,” with at least $700 million of equity securities held by non-affiliates;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date on which we have issued, in any three-year period, more than $1.0 billion in non-convertible debt securities;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last day of the fiscal year ending after the fifth anniversary of the completion of our IPO, which is December 31,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also a “smaller reporting company” as defined in the Exchange Act. Even after we no longer qualify as an emerging growth company, we may still qualify as a smaller reporting company, which would allow us to take advantage of many of the same exemptions from reporting requirements, including reduced disclosure obligations regarding executive compensation in our periodic reports and annual reports on Form 10-K. Investors may find our common stock less attractive as a result of our decision to rely on any of the exemptions afforded to emerging growth companies or smaller reporting companies, which may result in a less active trading market for our common stock and the market price of our common stock may be more volatile.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under the JOBS Act, emerging growth companies can also delay adopting new or revised accounting standards until such time as those standards apply to private companies. We have elected to use this extended transition period for any new or revised accounting standards during the period in which we remain an emerging growth company (or we affirmatively and irrevocably opted out of the extended transition period); however, we may adopt certain new or revised accounting standards early. As a result, these financial statements may not be comparable to companies that comply with the new or revised accounting pronouncements as of public company effective dates. </w:t>
      </w:r>
    </w:p>
    <w:p>
      <w:pPr>
        <w:pStyle w:val="TextBody"/>
        <w:bidi w:val="0"/>
        <w:spacing w:before="360" w:after="283"/>
        <w:jc w:val="left"/>
        <w:rPr>
          <w:rFonts w:ascii="Times New Roman" w:hAnsi="Times New Roman"/>
          <w:sz w:val="20"/>
        </w:rPr>
      </w:pPr>
      <w:r>
        <w:rPr>
          <w:rFonts w:ascii="Times New Roman" w:hAnsi="Times New Roman"/>
          <w:b/>
          <w:i/>
          <w:color w:val="000000"/>
          <w:sz w:val="20"/>
        </w:rPr>
        <w:t>The requirements of being a public company may strain our resources, result in an increased risk of litigation, and divert management’s attention.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we are subject to the reporting requirements of the Exchange Act, the Sarbanes-Oxley Act, the Dodd-Frank Wall Street Reform and Consumer Protection Act, the listing requirements of Nasdaq, and other applicable securities rules and regulations. Complying with these rules and regulations has and will in the future increase our legal and financial compliance costs, make some activities more difficult, time-consuming,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the requirements of the Sarbanes-Oxley Act, significant resources and management oversight may be required. As a result, management’s attention may be diverted from other business concerns, which could adversely affect our business and operating results. We may also need to hire additional employees or engage outside consultants to comply with these requirements, which will increase our costs and expenses.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changing laws, regulations, and standards relating to corporate governance and public disclosure create uncertainty for public companies, increase legal and financial compliance costs, and make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continue to invest resources to comply with evolving laws, regulations, and standards, and this investment may result in increased general and administrative expenses and a diversion of management’s time and attention from potential revenue-generating activities to compliance activities. If our efforts to comply with new laws, regulations, and standards fail to meet the requirements of the applicable regulatory or governing bodies, including due to ambiguities related to their application in practice, regulatory authorities may initiate legal proceedings against us, and our business may be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New laws, rules, and standards and our efforts necessary to comply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and talent committee, and qualified officers. Additionally, an increase in the cost of such insurance may cause us to opt for lower overall policy limits or to forgo insurance that we may otherwise rely on to cover defense costs, settlements, and damages awarded to plaintiffs in connection with any securities litigation.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By disclosing information in the periodic filings required of a public company, our business and financial condition are more visible, which we believe may result in threatened or actual litigation, including by competitors and other third parties. For example, as described elsewhere in this Quarterly Report, the Securities Lawsuit involves asserted class action claims against the defendants pursuant to Section 10(b) of the Exchange Act, including Rule 10b-5 promulgated thereunder, as well as claims against the individual defendants pursuant to Section 20(a) of the Exchange Act. If these or any other claims are successful, our business could be seriously harmed. Even when such claims do not result in litigation or are resolved in our favor, the time and resources needed to resolve them could divert our management’s resources and seriously harm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maintain proper and effective internal controls over financial reporting, our ability to produce accurate and timely financial statements could be impaired.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Section 404 of the Sarbanes-Oxley Act, our management is required to report upon the effectiveness of our internal control over financial reporting. When we lose our status as an emerging growth company, our independent registered public accounting firm may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have implemented and may need to continue to implement additional financial and management controls, reporting systems, and procedures, and may need to hire additional accounting and finance staff.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guarantee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with a related party, which could cause us to fail to make a required related party transaction disclosure. Additionally, controls can, depending on the circumstances, be circumvented by the acts of a single individual,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360" w:after="283"/>
        <w:jc w:val="left"/>
        <w:rPr>
          <w:rFonts w:ascii="Times New Roman" w:hAnsi="Times New Roman"/>
          <w:b/>
          <w:color w:val="000000"/>
          <w:sz w:val="20"/>
        </w:rPr>
      </w:pPr>
      <w:bookmarkStart w:id="17" w:name="item_2_unregistered_sales_equity_securit"/>
      <w:bookmarkEnd w:id="17"/>
      <w:r>
        <w:rPr>
          <w:rFonts w:ascii="Times New Roman" w:hAnsi="Times New Roman"/>
          <w:b/>
          <w:color w:val="000000"/>
          <w:sz w:val="20"/>
        </w:rPr>
        <w:t>Item 2. Unregistered Sales of Equity Securities and Use of Proceeds</w:t>
      </w:r>
    </w:p>
    <w:p>
      <w:pPr>
        <w:pStyle w:val="Heading1"/>
        <w:bidi w:val="0"/>
        <w:spacing w:before="120" w:after="283"/>
        <w:jc w:val="left"/>
        <w:rPr>
          <w:rFonts w:ascii="Times New Roman" w:hAnsi="Times New Roman"/>
          <w:color w:val="000000"/>
          <w:sz w:val="20"/>
        </w:rPr>
      </w:pPr>
      <w:r>
        <w:rPr>
          <w:rFonts w:ascii="Times New Roman" w:hAnsi="Times New Roman"/>
          <w:color w:val="000000"/>
          <w:sz w:val="20"/>
        </w:rPr>
        <w:t>Recent 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did not sell any unregistered securities in the three months ended September 30, 2026.</w:t>
      </w:r>
    </w:p>
    <w:p>
      <w:pPr>
        <w:pStyle w:val="TextBody"/>
        <w:bidi w:val="0"/>
        <w:spacing w:before="360" w:after="283"/>
        <w:jc w:val="left"/>
        <w:rPr>
          <w:rFonts w:ascii="Times New Roman" w:hAnsi="Times New Roman"/>
          <w:b/>
          <w:color w:val="000000"/>
          <w:sz w:val="20"/>
        </w:rPr>
      </w:pPr>
      <w:bookmarkStart w:id="18" w:name="item_3_defaults_upon_senior_securities"/>
      <w:bookmarkEnd w:id="18"/>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9" w:name="item_4_mine_safety_disclosures"/>
      <w:bookmarkEnd w:id="1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sz w:val="20"/>
        </w:rPr>
      </w:pPr>
      <w:bookmarkStart w:id="20" w:name="item_5_or_information"/>
      <w:bookmarkEnd w:id="20"/>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sz w:val="16"/>
        </w:rPr>
      </w:pPr>
      <w:r>
        <w:rPr>
          <w:rFonts w:ascii="Times New Roman" w:hAnsi="Times New Roman"/>
          <w:color w:val="000000"/>
          <w:sz w:val="20"/>
        </w:rPr>
        <w:t>During our last fiscal quarter, no director or officer, as defined in Rule 16a-1(f) under the Exchange Act, adopted</w:t>
      </w:r>
      <w:r>
        <w:rPr>
          <w:rFonts w:ascii="Times New Roman" w:hAnsi="Times New Roman"/>
          <w:color w:val="000000"/>
          <w:sz w:val="16"/>
        </w:rPr>
        <w:t xml:space="preserve"> </w:t>
      </w:r>
      <w:r>
        <w:rPr>
          <w:rFonts w:ascii="Times New Roman" w:hAnsi="Times New Roman"/>
          <w:color w:val="000000"/>
          <w:sz w:val="20"/>
        </w:rPr>
        <w:t>or terminated</w:t>
      </w:r>
      <w:r>
        <w:rPr>
          <w:rFonts w:ascii="Times New Roman" w:hAnsi="Times New Roman"/>
          <w:color w:val="000000"/>
          <w:sz w:val="16"/>
        </w:rPr>
        <w:t xml:space="preserve"> </w:t>
      </w:r>
      <w:r>
        <w:rPr>
          <w:rFonts w:ascii="Times New Roman" w:hAnsi="Times New Roman"/>
          <w:color w:val="000000"/>
          <w:sz w:val="20"/>
        </w:rPr>
        <w:t>a “Rule 10b5-1 trading arrangement” or a “non-Rule 10b5-1 trading arrangement,” each as defined in Regulation S-K Item 408.</w:t>
      </w:r>
      <w:r>
        <w:rPr>
          <w:rFonts w:ascii="Times New Roman" w:hAnsi="Times New Roman"/>
          <w:color w:val="000000"/>
          <w:sz w:val="16"/>
        </w:rPr>
        <w:t xml:space="preserve"> </w:t>
      </w:r>
    </w:p>
    <w:p>
      <w:pPr>
        <w:pStyle w:val="TextBody"/>
        <w:bidi w:val="0"/>
        <w:spacing w:before="120" w:after="283"/>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788"/>
        <w:gridCol w:w="146"/>
        <w:gridCol w:w="9271"/>
      </w:tblGrid>
      <w:tr>
        <w:tc>
          <w:tcPr>
            <w:tcW w:w="7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71" w:type="dxa"/>
            <w:tcBorders/>
            <w:vAlign w:val="center"/>
          </w:tcPr>
          <w:p>
            <w:pPr>
              <w:pStyle w:val="TableContents"/>
              <w:bidi w:val="0"/>
              <w:spacing w:before="0" w:after="283"/>
              <w:jc w:val="left"/>
              <w:rPr>
                <w:sz w:val="4"/>
                <w:szCs w:val="4"/>
              </w:rPr>
            </w:pPr>
            <w:r>
              <w:rPr>
                <w:sz w:val="4"/>
                <w:szCs w:val="4"/>
              </w:rPr>
            </w:r>
          </w:p>
        </w:tc>
      </w:tr>
      <w:tr>
        <w:tc>
          <w:tcPr>
            <w:tcW w:w="788"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c>
          <w:tcPr>
            <w:tcW w:w="7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1" w:type="dxa"/>
            <w:tcBorders/>
            <w:shd w:fill="FFFFFF" w:val="clear"/>
            <w:tcMar>
              <w:top w:w="0" w:type="dxa"/>
              <w:left w:w="0" w:type="dxa"/>
              <w:bottom w:w="0" w:type="dxa"/>
              <w:right w:w="0" w:type="dxa"/>
            </w:tcMar>
            <w:vAlign w:val="center"/>
          </w:tcPr>
          <w:p>
            <w:pPr>
              <w:pStyle w:val="TableContents"/>
              <w:bidi w:val="0"/>
              <w:spacing w:before="0" w:after="283"/>
              <w:jc w:val="left"/>
            </w:pPr>
            <w:hyperlink r:id="rId2">
              <w:r>
                <w:rPr>
                  <w:rStyle w:val="InternetLink"/>
                  <w:rFonts w:ascii="Times New Roman" w:hAnsi="Times New Roman"/>
                  <w:color w:val="000080"/>
                  <w:sz w:val="20"/>
                  <w:u w:val="single"/>
                </w:rPr>
                <w:t>Amended and Restated Certificate of Incorporation (incorporated herein by reference to Exhibit 3.1 to the Company’s Current Report on Form 8-K (File No. 001-39941), filed with the SEC on February 9, 2021)</w:t>
              </w:r>
            </w:hyperlink>
            <w:r>
              <w:rPr>
                <w:rFonts w:ascii="Times New Roman" w:hAnsi="Times New Roman"/>
                <w:color w:val="0000FF"/>
                <w:sz w:val="20"/>
                <w:u w:val="single"/>
              </w:rPr>
              <w:t>.</w:t>
            </w:r>
          </w:p>
        </w:tc>
      </w:tr>
      <w:tr>
        <w:tc>
          <w:tcPr>
            <w:tcW w:w="7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8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1" w:type="dxa"/>
            <w:tcBorders/>
            <w:shd w:fill="FFFFFF" w:val="clear"/>
            <w:tcMar>
              <w:top w:w="0" w:type="dxa"/>
              <w:left w:w="0" w:type="dxa"/>
              <w:bottom w:w="0" w:type="dxa"/>
              <w:right w:w="0" w:type="dxa"/>
            </w:tcMar>
            <w:vAlign w:val="center"/>
          </w:tcPr>
          <w:p>
            <w:pPr>
              <w:pStyle w:val="TableContents"/>
              <w:bidi w:val="0"/>
              <w:spacing w:before="0" w:after="283"/>
              <w:jc w:val="left"/>
            </w:pPr>
            <w:hyperlink r:id="rId3">
              <w:r>
                <w:rPr>
                  <w:rStyle w:val="InternetLink"/>
                  <w:rFonts w:ascii="Times New Roman" w:hAnsi="Times New Roman"/>
                  <w:color w:val="000080"/>
                  <w:sz w:val="20"/>
                  <w:u w:val="single"/>
                </w:rPr>
                <w:t>Amended and Restated Bylaws (incorporated herein by reference to Exhibit 3.2 to the Company’s Current Report on Form 8-K (File No. 001-39941), filed with the SEC on February 9, 2021)</w:t>
              </w:r>
            </w:hyperlink>
            <w:r>
              <w:rPr>
                <w:rFonts w:ascii="Times New Roman" w:hAnsi="Times New Roman"/>
                <w:color w:val="0000FF"/>
                <w:sz w:val="20"/>
                <w:u w:val="single"/>
              </w:rPr>
              <w:t>.</w:t>
            </w:r>
          </w:p>
        </w:tc>
      </w:tr>
      <w:tr>
        <w:tc>
          <w:tcPr>
            <w:tcW w:w="7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8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1" w:type="dxa"/>
            <w:tcBorders/>
            <w:shd w:fill="FFFFFF" w:val="clear"/>
            <w:tcMar>
              <w:top w:w="0" w:type="dxa"/>
              <w:left w:w="0" w:type="dxa"/>
              <w:bottom w:w="0" w:type="dxa"/>
              <w:right w:w="0" w:type="dxa"/>
            </w:tcMar>
            <w:vAlign w:val="center"/>
          </w:tcPr>
          <w:p>
            <w:pPr>
              <w:pStyle w:val="TableContents"/>
              <w:bidi w:val="0"/>
              <w:spacing w:before="0" w:after="283"/>
              <w:jc w:val="left"/>
            </w:pPr>
            <w:r>
              <w:rPr>
                <w:rFonts w:ascii="Times New Roman" w:hAnsi="Times New Roman"/>
                <w:color w:val="000000"/>
                <w:sz w:val="20"/>
              </w:rPr>
              <w:t xml:space="preserve">Reference is made to Exhibits </w:t>
            </w:r>
            <w:hyperlink r:id="rId4">
              <w:r>
                <w:rPr>
                  <w:rStyle w:val="InternetLink"/>
                  <w:rFonts w:ascii="Times New Roman" w:hAnsi="Times New Roman"/>
                  <w:color w:val="0000FF"/>
                  <w:sz w:val="20"/>
                  <w:u w:val="single"/>
                </w:rPr>
                <w:t>3.1</w:t>
              </w:r>
            </w:hyperlink>
            <w:r>
              <w:rPr>
                <w:rFonts w:ascii="Times New Roman" w:hAnsi="Times New Roman"/>
                <w:color w:val="000000"/>
                <w:sz w:val="20"/>
              </w:rPr>
              <w:t xml:space="preserve"> through </w:t>
            </w:r>
            <w:hyperlink r:id="rId5">
              <w:r>
                <w:rPr>
                  <w:rStyle w:val="InternetLink"/>
                  <w:rFonts w:ascii="Times New Roman" w:hAnsi="Times New Roman"/>
                  <w:color w:val="0000FF"/>
                  <w:sz w:val="20"/>
                  <w:u w:val="single"/>
                </w:rPr>
                <w:t>3.2</w:t>
              </w:r>
            </w:hyperlink>
            <w:r>
              <w:rPr>
                <w:rFonts w:ascii="Times New Roman" w:hAnsi="Times New Roman"/>
                <w:color w:val="000000"/>
                <w:sz w:val="20"/>
              </w:rPr>
              <w:t>.</w:t>
            </w:r>
          </w:p>
        </w:tc>
      </w:tr>
      <w:tr>
        <w:tc>
          <w:tcPr>
            <w:tcW w:w="7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8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1" w:type="dxa"/>
            <w:tcBorders/>
            <w:shd w:fill="FFFFFF" w:val="clear"/>
            <w:tcMar>
              <w:top w:w="0" w:type="dxa"/>
              <w:left w:w="0" w:type="dxa"/>
              <w:bottom w:w="0" w:type="dxa"/>
              <w:right w:w="0" w:type="dxa"/>
            </w:tcMar>
            <w:vAlign w:val="center"/>
          </w:tcPr>
          <w:p>
            <w:pPr>
              <w:pStyle w:val="TableContents"/>
              <w:bidi w:val="0"/>
              <w:spacing w:before="0" w:after="283"/>
              <w:jc w:val="left"/>
            </w:pPr>
            <w:hyperlink r:id="rId6">
              <w:r>
                <w:rPr>
                  <w:rStyle w:val="InternetLink"/>
                  <w:rFonts w:ascii="Times New Roman" w:hAnsi="Times New Roman"/>
                  <w:color w:val="000080"/>
                  <w:sz w:val="20"/>
                  <w:u w:val="single"/>
                </w:rPr>
                <w:t>Form of Common Stock Certificate (incorporated herein by reference to Exhibit 4.2 to the Company’s Registration Statement on Form S-1 (File No. 333-252061), filed with the SEC on January 28, 2021)</w:t>
              </w:r>
            </w:hyperlink>
            <w:r>
              <w:rPr>
                <w:rFonts w:ascii="Times New Roman" w:hAnsi="Times New Roman"/>
                <w:color w:val="0000FF"/>
                <w:sz w:val="20"/>
                <w:u w:val="single"/>
              </w:rPr>
              <w:t>.</w:t>
            </w:r>
          </w:p>
        </w:tc>
      </w:tr>
      <w:tr>
        <w:tc>
          <w:tcPr>
            <w:tcW w:w="7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8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120" w:after="283"/>
              <w:jc w:val="left"/>
            </w:pPr>
            <w:r>
              <w:t> </w:t>
            </w:r>
          </w:p>
        </w:tc>
        <w:tc>
          <w:tcPr>
            <w:tcW w:w="9271" w:type="dxa"/>
            <w:tcBorders/>
            <w:shd w:fill="FFFFFF" w:val="clear"/>
            <w:tcMar>
              <w:top w:w="0" w:type="dxa"/>
              <w:left w:w="0" w:type="dxa"/>
              <w:bottom w:w="0" w:type="dxa"/>
              <w:right w:w="0" w:type="dxa"/>
            </w:tcMar>
            <w:vAlign w:val="center"/>
          </w:tcPr>
          <w:p>
            <w:pPr>
              <w:pStyle w:val="TableContents"/>
              <w:bidi w:val="0"/>
              <w:spacing w:before="0" w:after="283"/>
              <w:jc w:val="left"/>
            </w:pPr>
            <w:hyperlink r:id="rId7">
              <w:r>
                <w:rPr>
                  <w:rStyle w:val="InternetLink"/>
                  <w:rFonts w:ascii="Times New Roman" w:hAnsi="Times New Roman"/>
                  <w:color w:val="0000FF"/>
                  <w:sz w:val="20"/>
                  <w:u w:val="single"/>
                </w:rPr>
                <w:t>Form of Pre-Funded Warrant (incorporated herein by reference to Exhibit 4.1 to the Company’s Current Report on Form 8-K (File No. 001-39941), filed with the SEC on February 8, 2024).</w:t>
              </w:r>
            </w:hyperlink>
          </w:p>
        </w:tc>
      </w:tr>
      <w:tr>
        <w:tc>
          <w:tcPr>
            <w:tcW w:w="7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8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71" w:type="dxa"/>
            <w:tcBorders/>
            <w:shd w:fill="FFFFFF" w:val="clear"/>
            <w:tcMar>
              <w:top w:w="0" w:type="dxa"/>
              <w:left w:w="0" w:type="dxa"/>
              <w:bottom w:w="0" w:type="dxa"/>
              <w:right w:w="0" w:type="dxa"/>
            </w:tcMar>
            <w:vAlign w:val="center"/>
          </w:tcPr>
          <w:p>
            <w:pPr>
              <w:pStyle w:val="TableContents"/>
              <w:bidi w:val="0"/>
              <w:spacing w:before="0" w:after="283"/>
              <w:jc w:val="left"/>
            </w:pPr>
            <w:hyperlink r:id="rId8">
              <w:r>
                <w:rPr>
                  <w:rStyle w:val="InternetLink"/>
                  <w:rFonts w:ascii="Times New Roman" w:hAnsi="Times New Roman"/>
                  <w:color w:val="0000FF"/>
                  <w:sz w:val="20"/>
                  <w:u w:val="single"/>
                </w:rPr>
                <w:t>Form of Pre-Funded Warrant (incorporated herein by reference to Exhibit 4.1 to the Company’s Current Report on Form 8-K (File No. 001-39941), filed with the SEC on August 7, 2025).</w:t>
              </w:r>
            </w:hyperlink>
          </w:p>
        </w:tc>
      </w:tr>
      <w:tr>
        <w:tc>
          <w:tcPr>
            <w:tcW w:w="7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8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71" w:type="dxa"/>
            <w:tcBorders/>
            <w:shd w:fill="FFFFFF" w:val="clear"/>
            <w:tcMar>
              <w:top w:w="0" w:type="dxa"/>
              <w:left w:w="0" w:type="dxa"/>
              <w:bottom w:w="0" w:type="dxa"/>
              <w:right w:w="0" w:type="dxa"/>
            </w:tcMar>
            <w:vAlign w:val="center"/>
          </w:tcPr>
          <w:p>
            <w:pPr>
              <w:pStyle w:val="TableContents"/>
              <w:bidi w:val="0"/>
              <w:spacing w:before="0" w:after="283"/>
              <w:jc w:val="left"/>
            </w:pPr>
            <w:hyperlink w:anchor="sana-ex10_1.htm">
              <w:r>
                <w:rPr>
                  <w:rStyle w:val="InternetLink"/>
                  <w:rFonts w:ascii="Times New Roman" w:hAnsi="Times New Roman"/>
                  <w:color w:val="0000FF"/>
                  <w:sz w:val="20"/>
                  <w:u w:val="single"/>
                </w:rPr>
                <w:t>Second Amendment to License Agreement by and between Flagship Pioneering Innovations V, Inc. and Cobalt Biomedicine, Inc., dated as of August 31, 2026.</w:t>
              </w:r>
            </w:hyperlink>
            <w:hyperlink w:anchor="sana-ex10_1.htm">
              <w:r>
                <w:rPr>
                  <w:rStyle w:val="InternetLink"/>
                  <w:rFonts w:ascii="Times New Roman" w:hAnsi="Times New Roman"/>
                  <w:color w:val="0000FF"/>
                  <w:sz w:val="20"/>
                </w:rPr>
                <w:t xml:space="preserve"> </w:t>
              </w:r>
            </w:hyperlink>
          </w:p>
        </w:tc>
      </w:tr>
      <w:tr>
        <w:tc>
          <w:tcPr>
            <w:tcW w:w="7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8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1" w:type="dxa"/>
            <w:tcBorders/>
            <w:shd w:fill="FFFFFF" w:val="clear"/>
            <w:tcMar>
              <w:top w:w="0" w:type="dxa"/>
              <w:left w:w="0" w:type="dxa"/>
              <w:bottom w:w="0" w:type="dxa"/>
              <w:right w:w="0" w:type="dxa"/>
            </w:tcMar>
            <w:vAlign w:val="center"/>
          </w:tcPr>
          <w:p>
            <w:pPr>
              <w:pStyle w:val="TableContents"/>
              <w:bidi w:val="0"/>
              <w:spacing w:before="0" w:after="283"/>
              <w:jc w:val="left"/>
            </w:pPr>
            <w:hyperlink w:anchor="sana-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c>
          <w:tcPr>
            <w:tcW w:w="7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88" w:type="dxa"/>
            <w:tcBorders/>
            <w:shd w:fill="FFFFFF" w:val="clear"/>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0"/>
              </w:rPr>
              <w:t>31.2*</w:t>
            </w:r>
          </w:p>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71" w:type="dxa"/>
            <w:tcBorders/>
            <w:shd w:fill="FFFFFF" w:val="clear"/>
            <w:tcMar>
              <w:top w:w="0" w:type="dxa"/>
              <w:left w:w="0" w:type="dxa"/>
              <w:bottom w:w="0" w:type="dxa"/>
              <w:right w:w="0" w:type="dxa"/>
            </w:tcMar>
            <w:vAlign w:val="center"/>
          </w:tcPr>
          <w:p>
            <w:pPr>
              <w:pStyle w:val="TableContents"/>
              <w:bidi w:val="0"/>
              <w:spacing w:before="0" w:after="283"/>
              <w:jc w:val="left"/>
            </w:pPr>
            <w:hyperlink w:anchor="sana-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c>
          <w:tcPr>
            <w:tcW w:w="7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8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1" w:type="dxa"/>
            <w:tcBorders/>
            <w:shd w:fill="FFFFFF" w:val="clear"/>
            <w:tcMar>
              <w:top w:w="0" w:type="dxa"/>
              <w:left w:w="0" w:type="dxa"/>
              <w:bottom w:w="0" w:type="dxa"/>
              <w:right w:w="0" w:type="dxa"/>
            </w:tcMar>
            <w:vAlign w:val="center"/>
          </w:tcPr>
          <w:p>
            <w:pPr>
              <w:pStyle w:val="TableContents"/>
              <w:bidi w:val="0"/>
              <w:spacing w:before="0" w:after="283"/>
              <w:jc w:val="left"/>
            </w:pPr>
            <w:hyperlink w:anchor="sana-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c>
          <w:tcPr>
            <w:tcW w:w="7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88" w:type="dxa"/>
            <w:tcBorders/>
            <w:shd w:fill="FFFFFF" w:val="clear"/>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0"/>
              </w:rPr>
              <w:t>32.2*+</w:t>
            </w:r>
          </w:p>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71" w:type="dxa"/>
            <w:tcBorders/>
            <w:shd w:fill="FFFFFF" w:val="clear"/>
            <w:tcMar>
              <w:top w:w="0" w:type="dxa"/>
              <w:left w:w="0" w:type="dxa"/>
              <w:bottom w:w="0" w:type="dxa"/>
              <w:right w:w="0" w:type="dxa"/>
            </w:tcMar>
            <w:vAlign w:val="center"/>
          </w:tcPr>
          <w:p>
            <w:pPr>
              <w:pStyle w:val="TableContents"/>
              <w:bidi w:val="0"/>
              <w:spacing w:before="0" w:after="283"/>
              <w:jc w:val="left"/>
            </w:pPr>
            <w:hyperlink w:anchor="sana-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c>
          <w:tcPr>
            <w:tcW w:w="7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c>
          <w:tcPr>
            <w:tcW w:w="7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c>
          <w:tcPr>
            <w:tcW w:w="7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c>
          <w:tcPr>
            <w:tcW w:w="7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c>
          <w:tcPr>
            <w:tcW w:w="7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c>
          <w:tcPr>
            <w:tcW w:w="7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c>
          <w:tcPr>
            <w:tcW w:w="7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pPr>
      <w: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This certification is not deemed filed with the Securities and Exchange Commission and is not to be incorporated by reference into any filing of the Company under the Securities Act of 1933, as amended, or the Securities Exchange Act of 1934, as amended, whether made before or after the date of this Quarterly Report, irrespective of any general incorporation language contained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pPr>
      <w:r>
        <w:t> </w:t>
      </w:r>
    </w:p>
    <w:tbl>
      <w:tblPr>
        <w:tblW w:w="5827" w:type="dxa"/>
        <w:jc w:val="left"/>
        <w:tblInd w:w="0" w:type="dxa"/>
        <w:tblLayout w:type="fixed"/>
        <w:tblCellMar>
          <w:top w:w="28" w:type="dxa"/>
          <w:left w:w="28" w:type="dxa"/>
          <w:bottom w:w="28" w:type="dxa"/>
          <w:right w:w="28" w:type="dxa"/>
        </w:tblCellMar>
      </w:tblPr>
      <w:tblGrid>
        <w:gridCol w:w="2101"/>
        <w:gridCol w:w="109"/>
        <w:gridCol w:w="406"/>
        <w:gridCol w:w="3211"/>
      </w:tblGrid>
      <w:t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2"/>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SANA BIOTECHNOLOGY, INC.</w:t>
            </w:r>
          </w:p>
          <w:p>
            <w:pPr>
              <w:pStyle w:val="TableContents"/>
              <w:bidi w:val="0"/>
              <w:spacing w:before="0" w:after="283"/>
              <w:jc w:val="left"/>
            </w:pPr>
            <w:r>
              <w:t> </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Steven D. Harr, M.D.</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Steven D. Harr, M.D.</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pPr>
      <w:r>
        <w:t> </w:t>
      </w:r>
    </w:p>
    <w:tbl>
      <w:tblPr>
        <w:tblW w:w="6757" w:type="dxa"/>
        <w:jc w:val="left"/>
        <w:tblInd w:w="0" w:type="dxa"/>
        <w:tblLayout w:type="fixed"/>
        <w:tblCellMar>
          <w:top w:w="28" w:type="dxa"/>
          <w:left w:w="28" w:type="dxa"/>
          <w:bottom w:w="28" w:type="dxa"/>
          <w:right w:w="28" w:type="dxa"/>
        </w:tblCellMar>
      </w:tblPr>
      <w:tblGrid>
        <w:gridCol w:w="2101"/>
        <w:gridCol w:w="109"/>
        <w:gridCol w:w="406"/>
        <w:gridCol w:w="4141"/>
      </w:tblGrid>
      <w:t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Brian Piper</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Brian Piper</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Executive Vice President, 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pPr>
      <w:r/>
    </w:p>
    <w:p>
      <w:pPr>
        <w:pStyle w:val="TextBody"/>
        <w:bidi w:val="0"/>
        <w:jc w:val="right"/>
        <w:rPr>
          <w:rFonts w:ascii="Times New Roman" w:hAnsi="Times New Roman"/>
          <w:b/>
          <w:color w:val="000000"/>
          <w:sz w:val="21"/>
        </w:rPr>
      </w:pPr>
      <w:bookmarkStart w:id="23" w:name="sana-ex10_1.htm"/>
      <w:bookmarkStart w:id="24" w:name="kssanaex10_1"/>
      <w:bookmarkEnd w:id="23"/>
      <w:bookmarkEnd w:id="24"/>
      <w:r>
        <w:rPr>
          <w:rFonts w:ascii="Times New Roman" w:hAnsi="Times New Roman"/>
          <w:b/>
          <w:color w:val="000000"/>
          <w:sz w:val="21"/>
        </w:rPr>
        <w:t>Exhibit 10.1</w:t>
      </w:r>
      <w:r>
        <w:br w:type="page"/>
      </w:r>
    </w:p>
    <w:p>
      <w:pPr>
        <w:pStyle w:val="TextBody"/>
        <w:bidi w:val="0"/>
        <w:spacing w:before="0" w:after="480"/>
        <w:jc w:val="center"/>
        <w:rPr>
          <w:rFonts w:ascii="Arial" w:hAnsi="Arial"/>
          <w:b/>
          <w:caps/>
          <w:color w:val="000000"/>
          <w:sz w:val="20"/>
        </w:rPr>
      </w:pPr>
      <w:r>
        <w:rPr>
          <w:rFonts w:ascii="Arial" w:hAnsi="Arial"/>
          <w:b/>
          <w:caps/>
          <w:color w:val="000000"/>
          <w:sz w:val="20"/>
        </w:rPr>
        <w:t>SeconD AMENDMENT TO License Agreement</w:t>
      </w:r>
    </w:p>
    <w:p>
      <w:pPr>
        <w:pStyle w:val="TextBody"/>
        <w:bidi w:val="0"/>
        <w:spacing w:before="0" w:after="240"/>
        <w:jc w:val="both"/>
        <w:rPr>
          <w:rFonts w:ascii="Arial" w:hAnsi="Arial"/>
          <w:sz w:val="20"/>
        </w:rPr>
      </w:pPr>
      <w:r>
        <w:rPr>
          <w:rFonts w:ascii="Arial" w:hAnsi="Arial"/>
          <w:color w:val="000000"/>
          <w:sz w:val="20"/>
        </w:rPr>
        <w:t>This Second Amendment to License Agreement (“</w:t>
      </w:r>
      <w:r>
        <w:rPr>
          <w:rFonts w:ascii="Arial" w:hAnsi="Arial"/>
          <w:b/>
          <w:i/>
          <w:color w:val="000000"/>
          <w:sz w:val="20"/>
        </w:rPr>
        <w:t>Second Amendment</w:t>
      </w:r>
      <w:r>
        <w:rPr>
          <w:rFonts w:ascii="Arial" w:hAnsi="Arial"/>
          <w:color w:val="000000"/>
          <w:sz w:val="20"/>
        </w:rPr>
        <w:t>”), dated as of August 31, 2026 (the “</w:t>
      </w:r>
      <w:r>
        <w:rPr>
          <w:rFonts w:ascii="Arial" w:hAnsi="Arial"/>
          <w:b/>
          <w:i/>
          <w:color w:val="000000"/>
          <w:sz w:val="20"/>
        </w:rPr>
        <w:t>Second Amendment Effective Date</w:t>
      </w:r>
      <w:r>
        <w:rPr>
          <w:rFonts w:ascii="Arial" w:hAnsi="Arial"/>
          <w:color w:val="000000"/>
          <w:sz w:val="20"/>
        </w:rPr>
        <w:t>”), is made and entered into by and between Flagship Pioneering Innovations V, Inc., a Delaware corporation (“</w:t>
      </w:r>
      <w:r>
        <w:rPr>
          <w:rFonts w:ascii="Arial" w:hAnsi="Arial"/>
          <w:b/>
          <w:i/>
          <w:color w:val="000000"/>
          <w:sz w:val="20"/>
        </w:rPr>
        <w:t>Flagship</w:t>
      </w:r>
      <w:r>
        <w:rPr>
          <w:rFonts w:ascii="Arial" w:hAnsi="Arial"/>
          <w:color w:val="000000"/>
          <w:sz w:val="20"/>
        </w:rPr>
        <w:t>”) and Cobalt Biomedicine, Inc. (formerly VL39, Inc.), a Delaware corporation (“</w:t>
      </w:r>
      <w:r>
        <w:rPr>
          <w:rFonts w:ascii="Arial" w:hAnsi="Arial"/>
          <w:b/>
          <w:i/>
          <w:color w:val="000000"/>
          <w:sz w:val="20"/>
        </w:rPr>
        <w:t>Company</w:t>
      </w:r>
      <w:r>
        <w:rPr>
          <w:rFonts w:ascii="Arial" w:hAnsi="Arial"/>
          <w:color w:val="000000"/>
          <w:sz w:val="20"/>
        </w:rPr>
        <w:t xml:space="preserve">”). </w:t>
      </w:r>
    </w:p>
    <w:p>
      <w:pPr>
        <w:pStyle w:val="TextBody"/>
        <w:bidi w:val="0"/>
        <w:spacing w:before="0" w:after="240"/>
        <w:jc w:val="center"/>
        <w:rPr>
          <w:rFonts w:ascii="Arial" w:hAnsi="Arial"/>
          <w:sz w:val="20"/>
        </w:rPr>
      </w:pPr>
      <w:r>
        <w:rPr>
          <w:rFonts w:ascii="Arial" w:hAnsi="Arial"/>
          <w:b/>
          <w:color w:val="000000"/>
          <w:sz w:val="20"/>
        </w:rPr>
        <w:t>RECITALS</w:t>
      </w:r>
      <w:r>
        <w:rPr>
          <w:rFonts w:ascii="Arial" w:hAnsi="Arial"/>
          <w:color w:val="000000"/>
          <w:sz w:val="20"/>
        </w:rPr>
        <w:t xml:space="preserve"> </w:t>
      </w:r>
    </w:p>
    <w:p>
      <w:pPr>
        <w:pStyle w:val="TextBody"/>
        <w:bidi w:val="0"/>
        <w:spacing w:before="0" w:after="240"/>
        <w:jc w:val="both"/>
        <w:rPr>
          <w:rFonts w:ascii="Arial" w:hAnsi="Arial"/>
          <w:sz w:val="20"/>
        </w:rPr>
      </w:pPr>
      <w:r>
        <w:rPr>
          <w:rFonts w:ascii="Arial" w:hAnsi="Arial"/>
          <w:b/>
          <w:smallCaps/>
          <w:color w:val="000000"/>
          <w:sz w:val="20"/>
        </w:rPr>
        <w:t>Whereas</w:t>
      </w:r>
      <w:r>
        <w:rPr>
          <w:rFonts w:ascii="Arial" w:hAnsi="Arial"/>
          <w:color w:val="000000"/>
          <w:sz w:val="20"/>
        </w:rPr>
        <w:t>, Flagship and Company entered into a certain License Agreement, effective as of February 17, 2016, as amended by that first amendment dated February 14, 2019 (the “</w:t>
      </w:r>
      <w:r>
        <w:rPr>
          <w:rFonts w:ascii="Arial" w:hAnsi="Arial"/>
          <w:b/>
          <w:i/>
          <w:color w:val="000000"/>
          <w:sz w:val="20"/>
        </w:rPr>
        <w:t>License Agreement</w:t>
      </w:r>
      <w:r>
        <w:rPr>
          <w:rFonts w:ascii="Arial" w:hAnsi="Arial"/>
          <w:color w:val="000000"/>
          <w:sz w:val="20"/>
        </w:rPr>
        <w:t xml:space="preserve">”); </w:t>
      </w:r>
    </w:p>
    <w:p>
      <w:pPr>
        <w:pStyle w:val="TextBody"/>
        <w:bidi w:val="0"/>
        <w:spacing w:before="0" w:after="240"/>
        <w:jc w:val="both"/>
        <w:rPr>
          <w:rFonts w:ascii="Arial" w:hAnsi="Arial"/>
          <w:sz w:val="20"/>
        </w:rPr>
      </w:pPr>
      <w:r>
        <w:rPr>
          <w:rFonts w:ascii="Arial" w:hAnsi="Arial"/>
          <w:b/>
          <w:smallCaps/>
          <w:color w:val="000000"/>
          <w:sz w:val="20"/>
        </w:rPr>
        <w:t>Whereas</w:t>
      </w:r>
      <w:r>
        <w:rPr>
          <w:rFonts w:ascii="Arial" w:hAnsi="Arial"/>
          <w:color w:val="000000"/>
          <w:sz w:val="20"/>
        </w:rPr>
        <w:t>, Company entered into an agreement and plan of merger with Sana Biotechnology, Inc. (“</w:t>
      </w:r>
      <w:r>
        <w:rPr>
          <w:rFonts w:ascii="Arial" w:hAnsi="Arial"/>
          <w:b/>
          <w:i/>
          <w:color w:val="000000"/>
          <w:sz w:val="20"/>
        </w:rPr>
        <w:t>Parent</w:t>
      </w:r>
      <w:r>
        <w:rPr>
          <w:rFonts w:ascii="Arial" w:hAnsi="Arial"/>
          <w:color w:val="000000"/>
          <w:sz w:val="20"/>
        </w:rPr>
        <w:t>”) dated as of December 20, 2018, as amended by those certain amendments thereto dated as of January 29, 2019, February 8, 2019, and March 22, 2021, and as further amended by that certain fourth amendment dated as of August 31, 2026 (the “</w:t>
      </w:r>
      <w:r>
        <w:rPr>
          <w:rFonts w:ascii="Arial" w:hAnsi="Arial"/>
          <w:b/>
          <w:i/>
          <w:color w:val="000000"/>
          <w:sz w:val="20"/>
        </w:rPr>
        <w:t>Fourth Merger</w:t>
      </w:r>
      <w:r>
        <w:rPr>
          <w:rFonts w:ascii="Arial" w:hAnsi="Arial"/>
          <w:color w:val="000000"/>
          <w:sz w:val="20"/>
        </w:rPr>
        <w:t xml:space="preserve"> </w:t>
      </w:r>
      <w:r>
        <w:rPr>
          <w:rFonts w:ascii="Arial" w:hAnsi="Arial"/>
          <w:b/>
          <w:i/>
          <w:color w:val="000000"/>
          <w:sz w:val="20"/>
        </w:rPr>
        <w:t>Agreement</w:t>
      </w:r>
      <w:r>
        <w:rPr>
          <w:rFonts w:ascii="Arial" w:hAnsi="Arial"/>
          <w:color w:val="000000"/>
          <w:sz w:val="20"/>
        </w:rPr>
        <w:t xml:space="preserve"> </w:t>
      </w:r>
      <w:r>
        <w:rPr>
          <w:rFonts w:ascii="Arial" w:hAnsi="Arial"/>
          <w:b/>
          <w:i/>
          <w:color w:val="000000"/>
          <w:sz w:val="20"/>
        </w:rPr>
        <w:t>Amendment</w:t>
      </w:r>
      <w:r>
        <w:rPr>
          <w:rFonts w:ascii="Arial" w:hAnsi="Arial"/>
          <w:color w:val="000000"/>
          <w:sz w:val="20"/>
        </w:rPr>
        <w:t>,” and together with the foregoing, as amended, the “</w:t>
      </w:r>
      <w:r>
        <w:rPr>
          <w:rFonts w:ascii="Arial" w:hAnsi="Arial"/>
          <w:b/>
          <w:i/>
          <w:color w:val="000000"/>
          <w:sz w:val="20"/>
        </w:rPr>
        <w:t>Merger Agreement</w:t>
      </w:r>
      <w:r>
        <w:rPr>
          <w:rFonts w:ascii="Arial" w:hAnsi="Arial"/>
          <w:color w:val="000000"/>
          <w:sz w:val="20"/>
        </w:rPr>
        <w:t>”);</w:t>
      </w:r>
    </w:p>
    <w:p>
      <w:pPr>
        <w:pStyle w:val="TextBody"/>
        <w:bidi w:val="0"/>
        <w:spacing w:before="0" w:after="240"/>
        <w:jc w:val="both"/>
        <w:rPr>
          <w:rFonts w:ascii="Arial" w:hAnsi="Arial"/>
          <w:sz w:val="20"/>
        </w:rPr>
      </w:pPr>
      <w:r>
        <w:rPr>
          <w:rFonts w:ascii="Arial" w:hAnsi="Arial"/>
          <w:b/>
          <w:smallCaps/>
          <w:color w:val="000000"/>
          <w:sz w:val="20"/>
        </w:rPr>
        <w:t>Whereas</w:t>
      </w:r>
      <w:r>
        <w:rPr>
          <w:rFonts w:ascii="Arial" w:hAnsi="Arial"/>
          <w:color w:val="000000"/>
          <w:sz w:val="20"/>
        </w:rPr>
        <w:t>, pursuant to the Fourth Merger Agreement Amendment, Company and Parent have amended certain payment obligations under the Merger Agreement; and</w:t>
      </w:r>
    </w:p>
    <w:p>
      <w:pPr>
        <w:pStyle w:val="TextBody"/>
        <w:bidi w:val="0"/>
        <w:spacing w:before="0" w:after="240"/>
        <w:jc w:val="both"/>
        <w:rPr>
          <w:rFonts w:ascii="Arial" w:hAnsi="Arial"/>
          <w:sz w:val="20"/>
        </w:rPr>
      </w:pPr>
      <w:r>
        <w:rPr>
          <w:rFonts w:ascii="Arial" w:hAnsi="Arial"/>
          <w:b/>
          <w:smallCaps/>
          <w:color w:val="000000"/>
          <w:sz w:val="20"/>
        </w:rPr>
        <w:t>Whereas</w:t>
      </w:r>
      <w:r>
        <w:rPr>
          <w:rFonts w:ascii="Arial" w:hAnsi="Arial"/>
          <w:color w:val="000000"/>
          <w:sz w:val="20"/>
        </w:rPr>
        <w:t>, Flagship and Company desire to amend the Royalty Term of the License Agreement to reflect the amended payment obligations in the Fourth Merger Agreement Amendment.</w:t>
      </w:r>
    </w:p>
    <w:p>
      <w:pPr>
        <w:pStyle w:val="TextBody"/>
        <w:bidi w:val="0"/>
        <w:spacing w:before="0" w:after="240"/>
        <w:jc w:val="center"/>
        <w:rPr>
          <w:rFonts w:ascii="Arial" w:hAnsi="Arial"/>
          <w:b/>
          <w:color w:val="000000"/>
          <w:sz w:val="20"/>
        </w:rPr>
      </w:pPr>
      <w:r>
        <w:rPr>
          <w:rFonts w:ascii="Arial" w:hAnsi="Arial"/>
          <w:b/>
          <w:color w:val="000000"/>
          <w:sz w:val="20"/>
        </w:rPr>
        <w:t>AGREEMENT</w:t>
      </w:r>
    </w:p>
    <w:p>
      <w:pPr>
        <w:pStyle w:val="TextBody"/>
        <w:bidi w:val="0"/>
        <w:spacing w:before="0" w:after="240"/>
        <w:jc w:val="both"/>
        <w:rPr>
          <w:rFonts w:ascii="Arial" w:hAnsi="Arial"/>
          <w:sz w:val="20"/>
        </w:rPr>
      </w:pPr>
      <w:r>
        <w:rPr>
          <w:rFonts w:ascii="Arial" w:hAnsi="Arial"/>
          <w:b/>
          <w:smallCaps/>
          <w:color w:val="000000"/>
          <w:sz w:val="20"/>
        </w:rPr>
        <w:t>Now Therefore</w:t>
      </w:r>
      <w:r>
        <w:rPr>
          <w:rFonts w:ascii="Arial" w:hAnsi="Arial"/>
          <w:color w:val="000000"/>
          <w:sz w:val="20"/>
        </w:rPr>
        <w:t>, in consideration of the premises and covenants contained herein and for other good and valuable consideration, the receipt and adequacy of which is hereby acknowledged, the Parties hereto agree as follows:</w:t>
      </w:r>
    </w:p>
    <w:p>
      <w:pPr>
        <w:pStyle w:val="TextBody"/>
        <w:bidi w:val="0"/>
        <w:spacing w:before="0" w:after="240"/>
        <w:jc w:val="both"/>
        <w:rPr>
          <w:rFonts w:ascii="Arial" w:hAnsi="Arial"/>
          <w:b/>
          <w:color w:val="000000"/>
          <w:sz w:val="20"/>
        </w:rPr>
      </w:pPr>
      <w:r>
        <w:rPr>
          <w:rFonts w:ascii="Arial" w:hAnsi="Arial"/>
          <w:b/>
          <w:color w:val="000000"/>
          <w:sz w:val="20"/>
        </w:rPr>
        <w:t>1.</w:t>
      </w:r>
    </w:p>
    <w:p>
      <w:pPr>
        <w:pStyle w:val="TextBody"/>
        <w:bidi w:val="0"/>
        <w:spacing w:before="0" w:after="240"/>
        <w:jc w:val="both"/>
        <w:rPr>
          <w:rFonts w:ascii="Arial" w:hAnsi="Arial"/>
          <w:sz w:val="20"/>
        </w:rPr>
      </w:pPr>
      <w:r>
        <w:rPr>
          <w:rFonts w:ascii="Arial" w:hAnsi="Arial"/>
          <w:b/>
          <w:color w:val="000000"/>
          <w:sz w:val="20"/>
        </w:rPr>
        <w:t>Defined Terms</w:t>
      </w:r>
      <w:r>
        <w:rPr>
          <w:rFonts w:ascii="Arial" w:hAnsi="Arial"/>
          <w:color w:val="000000"/>
          <w:sz w:val="20"/>
        </w:rPr>
        <w:t>. Capitalized terms used but not defined herein shall have the meanings ascribed to them in the License Agreement.</w:t>
      </w:r>
    </w:p>
    <w:p>
      <w:pPr>
        <w:pStyle w:val="TextBody"/>
        <w:bidi w:val="0"/>
        <w:spacing w:before="0" w:after="240"/>
        <w:jc w:val="both"/>
        <w:rPr>
          <w:rFonts w:ascii="Arial" w:hAnsi="Arial"/>
          <w:b/>
          <w:color w:val="000000"/>
          <w:sz w:val="20"/>
        </w:rPr>
      </w:pPr>
      <w:r>
        <w:rPr>
          <w:rFonts w:ascii="Arial" w:hAnsi="Arial"/>
          <w:b/>
          <w:color w:val="000000"/>
          <w:sz w:val="20"/>
        </w:rPr>
        <w:t>2.</w:t>
      </w:r>
    </w:p>
    <w:p>
      <w:pPr>
        <w:pStyle w:val="TextBody"/>
        <w:bidi w:val="0"/>
        <w:spacing w:before="0" w:after="240"/>
        <w:jc w:val="both"/>
        <w:rPr>
          <w:rFonts w:ascii="Arial" w:hAnsi="Arial"/>
          <w:sz w:val="20"/>
        </w:rPr>
      </w:pPr>
      <w:r>
        <w:rPr>
          <w:rFonts w:ascii="Arial" w:hAnsi="Arial"/>
          <w:b/>
          <w:color w:val="000000"/>
          <w:sz w:val="20"/>
        </w:rPr>
        <w:t>Amendments to Section 1 of the License Agreement</w:t>
      </w:r>
      <w:r>
        <w:rPr>
          <w:rFonts w:ascii="Arial" w:hAnsi="Arial"/>
          <w:color w:val="000000"/>
          <w:sz w:val="20"/>
        </w:rPr>
        <w:t xml:space="preserve"> </w:t>
      </w:r>
    </w:p>
    <w:p>
      <w:pPr>
        <w:pStyle w:val="TextBody"/>
        <w:bidi w:val="0"/>
        <w:spacing w:before="0" w:after="240"/>
        <w:jc w:val="both"/>
        <w:rPr>
          <w:rFonts w:ascii="Arial" w:hAnsi="Arial"/>
          <w:b/>
          <w:color w:val="000000"/>
          <w:sz w:val="20"/>
        </w:rPr>
      </w:pPr>
      <w:r>
        <w:rPr>
          <w:rFonts w:ascii="Arial" w:hAnsi="Arial"/>
          <w:b/>
          <w:color w:val="000000"/>
          <w:sz w:val="20"/>
        </w:rPr>
        <w:t>(a)</w:t>
      </w:r>
    </w:p>
    <w:p>
      <w:pPr>
        <w:pStyle w:val="TextBody"/>
        <w:bidi w:val="0"/>
        <w:spacing w:before="0" w:after="240"/>
        <w:jc w:val="both"/>
        <w:rPr>
          <w:rFonts w:ascii="Arial" w:hAnsi="Arial"/>
          <w:color w:val="000000"/>
          <w:sz w:val="20"/>
        </w:rPr>
      </w:pPr>
      <w:r>
        <w:rPr>
          <w:rFonts w:ascii="Arial" w:hAnsi="Arial"/>
          <w:color w:val="000000"/>
          <w:sz w:val="20"/>
        </w:rPr>
        <w:t>Section 1.37 is hereby deleted and replaced in its entirety with the following:</w:t>
      </w:r>
    </w:p>
    <w:p>
      <w:pPr>
        <w:pStyle w:val="TextBody"/>
        <w:bidi w:val="0"/>
        <w:spacing w:before="0" w:after="240"/>
        <w:jc w:val="both"/>
      </w:pPr>
      <w:r>
        <w:rPr>
          <w:color w:val="000000"/>
        </w:rPr>
        <w:t>“</w:t>
      </w:r>
      <w:r>
        <w:rPr>
          <w:rFonts w:ascii="Arial" w:hAnsi="Arial"/>
          <w:b/>
          <w:i/>
          <w:color w:val="000000"/>
          <w:sz w:val="20"/>
        </w:rPr>
        <w:t>Royalty Term</w:t>
      </w:r>
      <w:r>
        <w:rPr>
          <w:rFonts w:ascii="Arial" w:hAnsi="Arial"/>
          <w:color w:val="000000"/>
          <w:sz w:val="20"/>
        </w:rPr>
        <w:t>” means, on a Licensed Product-by-Licensed Product and jurisdiction-by-jurisdiction basis, the period from the First Commercial Sale of such Licensed Product in the Licensed Field in such jurisdiction until the earlier of (a) the expiration of the last Valid Claim of any Foundational IP covering such Licensed Product in the Licensed Field in such jurisdiction or (b) the date on which the Total Payment Cap is achieved.</w:t>
      </w:r>
    </w:p>
    <w:p>
      <w:pPr>
        <w:pStyle w:val="TextBody"/>
        <w:bidi w:val="0"/>
        <w:spacing w:before="0" w:after="240"/>
        <w:jc w:val="both"/>
        <w:rPr>
          <w:rFonts w:ascii="Arial" w:hAnsi="Arial"/>
          <w:b/>
          <w:color w:val="000000"/>
          <w:sz w:val="20"/>
        </w:rPr>
      </w:pPr>
      <w:r>
        <w:rPr>
          <w:rFonts w:ascii="Arial" w:hAnsi="Arial"/>
          <w:b/>
          <w:color w:val="000000"/>
          <w:sz w:val="20"/>
        </w:rPr>
        <w:t>(b)</w:t>
      </w:r>
    </w:p>
    <w:p>
      <w:pPr>
        <w:pStyle w:val="TextBody"/>
        <w:bidi w:val="0"/>
        <w:spacing w:before="0" w:after="240"/>
        <w:jc w:val="both"/>
        <w:rPr>
          <w:rFonts w:ascii="Arial" w:hAnsi="Arial"/>
          <w:color w:val="000000"/>
          <w:sz w:val="20"/>
        </w:rPr>
      </w:pPr>
      <w:r>
        <w:rPr>
          <w:rFonts w:ascii="Arial" w:hAnsi="Arial"/>
          <w:color w:val="000000"/>
          <w:sz w:val="20"/>
        </w:rPr>
        <w:t xml:space="preserve">Section 1.52 is hereby added to the License Agreement: </w:t>
      </w:r>
    </w:p>
    <w:p>
      <w:pPr>
        <w:pStyle w:val="TextBody"/>
        <w:bidi w:val="0"/>
        <w:spacing w:before="0" w:after="240"/>
        <w:jc w:val="both"/>
      </w:pPr>
      <w:r>
        <w:rPr>
          <w:color w:val="000000"/>
        </w:rPr>
        <w:t>“</w:t>
      </w:r>
      <w:r>
        <w:rPr>
          <w:rFonts w:ascii="Arial" w:hAnsi="Arial"/>
          <w:b/>
          <w:i/>
          <w:color w:val="000000"/>
          <w:sz w:val="20"/>
        </w:rPr>
        <w:t>Total Payment Cap</w:t>
      </w:r>
      <w:r>
        <w:rPr>
          <w:rFonts w:ascii="Arial" w:hAnsi="Arial"/>
          <w:color w:val="000000"/>
          <w:sz w:val="20"/>
        </w:rPr>
        <w:t>” has the meaning set forth in the Merger Agreement.</w:t>
      </w:r>
    </w:p>
    <w:p>
      <w:pPr>
        <w:pStyle w:val="TextBody"/>
        <w:bidi w:val="0"/>
        <w:spacing w:before="0" w:after="240"/>
        <w:jc w:val="both"/>
        <w:rPr>
          <w:rFonts w:ascii="Arial" w:hAnsi="Arial"/>
          <w:b/>
          <w:color w:val="000000"/>
          <w:sz w:val="20"/>
        </w:rPr>
      </w:pPr>
      <w:r>
        <w:rPr>
          <w:rFonts w:ascii="Arial" w:hAnsi="Arial"/>
          <w:b/>
          <w:color w:val="000000"/>
          <w:sz w:val="20"/>
        </w:rPr>
        <w:t>3.</w:t>
      </w:r>
    </w:p>
    <w:p>
      <w:pPr>
        <w:pStyle w:val="TextBody"/>
        <w:bidi w:val="0"/>
        <w:spacing w:before="0" w:after="240"/>
        <w:jc w:val="both"/>
        <w:rPr>
          <w:rFonts w:ascii="Arial" w:hAnsi="Arial"/>
          <w:sz w:val="20"/>
        </w:rPr>
      </w:pPr>
      <w:r>
        <w:rPr>
          <w:rFonts w:ascii="Arial" w:hAnsi="Arial"/>
          <w:b/>
          <w:color w:val="000000"/>
          <w:sz w:val="20"/>
        </w:rPr>
        <w:t>Full Force and Effect; No Waiver of Rights</w:t>
      </w:r>
      <w:r>
        <w:rPr>
          <w:rFonts w:ascii="Arial" w:hAnsi="Arial"/>
          <w:color w:val="000000"/>
          <w:sz w:val="20"/>
        </w:rPr>
        <w:t>. Except as expressly modified by this Second Amendment, the License Agreement is unmodified and this Second Amendment shall not impair the full force and effect of the License Agreement and shall not constitute a waiver of any right held by any party under the License Agreement.</w:t>
      </w:r>
    </w:p>
    <w:p>
      <w:pPr>
        <w:pStyle w:val="TextBody"/>
        <w:bidi w:val="0"/>
        <w:jc w:val="center"/>
        <w:rPr>
          <w:rFonts w:ascii="Arial" w:hAnsi="Arial"/>
          <w:color w:val="000000"/>
          <w:sz w:val="20"/>
        </w:rPr>
      </w:pPr>
      <w:r>
        <w:rPr>
          <w:rFonts w:ascii="Arial" w:hAnsi="Arial"/>
          <w:color w:val="000000"/>
          <w:sz w:val="20"/>
        </w:rPr>
        <w:t>1</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Arial" w:hAnsi="Arial"/>
          <w:b/>
          <w:color w:val="000000"/>
          <w:sz w:val="20"/>
        </w:rPr>
      </w:pPr>
      <w:r>
        <w:rPr>
          <w:rFonts w:ascii="Arial" w:hAnsi="Arial"/>
          <w:b/>
          <w:color w:val="000000"/>
          <w:sz w:val="20"/>
        </w:rPr>
        <w:t>4.</w:t>
      </w:r>
    </w:p>
    <w:p>
      <w:pPr>
        <w:pStyle w:val="TextBody"/>
        <w:bidi w:val="0"/>
        <w:spacing w:before="0" w:after="240"/>
        <w:jc w:val="both"/>
        <w:rPr>
          <w:rFonts w:ascii="Arial" w:hAnsi="Arial"/>
          <w:sz w:val="20"/>
        </w:rPr>
      </w:pPr>
      <w:r>
        <w:rPr>
          <w:rFonts w:ascii="Arial" w:hAnsi="Arial"/>
          <w:b/>
          <w:color w:val="000000"/>
          <w:sz w:val="20"/>
        </w:rPr>
        <w:t>Governing Law</w:t>
      </w:r>
      <w:r>
        <w:rPr>
          <w:rFonts w:ascii="Arial" w:hAnsi="Arial"/>
          <w:color w:val="000000"/>
          <w:sz w:val="20"/>
        </w:rPr>
        <w:t xml:space="preserve">. This Second Amendment shall be construed, governed, interpreted and enforced according to the laws of the Commonwealth of Massachusetts. </w:t>
      </w:r>
    </w:p>
    <w:p>
      <w:pPr>
        <w:pStyle w:val="TextBody"/>
        <w:bidi w:val="0"/>
        <w:spacing w:before="0" w:after="240"/>
        <w:jc w:val="both"/>
        <w:rPr>
          <w:rFonts w:ascii="Arial" w:hAnsi="Arial"/>
          <w:b/>
          <w:color w:val="000000"/>
          <w:sz w:val="20"/>
        </w:rPr>
      </w:pPr>
      <w:r>
        <w:rPr>
          <w:rFonts w:ascii="Arial" w:hAnsi="Arial"/>
          <w:b/>
          <w:color w:val="000000"/>
          <w:sz w:val="20"/>
        </w:rPr>
        <w:t>5.</w:t>
      </w:r>
    </w:p>
    <w:p>
      <w:pPr>
        <w:pStyle w:val="TextBody"/>
        <w:bidi w:val="0"/>
        <w:spacing w:before="0" w:after="240"/>
        <w:jc w:val="both"/>
        <w:rPr>
          <w:rFonts w:ascii="Arial" w:hAnsi="Arial"/>
          <w:sz w:val="20"/>
        </w:rPr>
      </w:pPr>
      <w:r>
        <w:rPr>
          <w:rFonts w:ascii="Arial" w:hAnsi="Arial"/>
          <w:b/>
          <w:color w:val="000000"/>
          <w:sz w:val="20"/>
        </w:rPr>
        <w:t>Counterparts</w:t>
      </w:r>
      <w:r>
        <w:rPr>
          <w:rFonts w:ascii="Arial" w:hAnsi="Arial"/>
          <w:color w:val="000000"/>
          <w:sz w:val="20"/>
        </w:rPr>
        <w:t>. This Second Amendment may be executed and delivered by electronically transmitted signature and in two or more counterparts, all of which together will constitute one and the same instrument.</w:t>
      </w:r>
    </w:p>
    <w:p>
      <w:pPr>
        <w:pStyle w:val="TextBody"/>
        <w:bidi w:val="0"/>
        <w:spacing w:before="0" w:after="240"/>
        <w:jc w:val="both"/>
      </w:pPr>
      <w:r>
        <w:t> </w:t>
      </w:r>
    </w:p>
    <w:p>
      <w:pPr>
        <w:pStyle w:val="TextBody"/>
        <w:bidi w:val="0"/>
        <w:jc w:val="center"/>
        <w:rPr>
          <w:rFonts w:ascii="Arial" w:hAnsi="Arial"/>
          <w:b/>
          <w:smallCaps/>
          <w:color w:val="000000"/>
          <w:sz w:val="20"/>
        </w:rPr>
      </w:pPr>
      <w:r>
        <w:rPr>
          <w:rFonts w:ascii="Arial" w:hAnsi="Arial"/>
          <w:b/>
          <w:smallCaps/>
          <w:color w:val="000000"/>
          <w:sz w:val="20"/>
        </w:rPr>
        <w:t>Signature Page Follows</w:t>
      </w:r>
    </w:p>
    <w:p>
      <w:pPr>
        <w:pStyle w:val="TextBody"/>
        <w:bidi w:val="0"/>
        <w:jc w:val="center"/>
        <w:rPr>
          <w:rFonts w:ascii="Arial" w:hAnsi="Arial"/>
          <w:color w:val="000000"/>
          <w:sz w:val="20"/>
        </w:rPr>
      </w:pPr>
      <w:r>
        <w:rPr>
          <w:rFonts w:ascii="Arial" w:hAnsi="Arial"/>
          <w:color w:val="000000"/>
          <w:sz w:val="20"/>
        </w:rPr>
        <w:t>2</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Arial" w:hAnsi="Arial"/>
          <w:sz w:val="20"/>
        </w:rPr>
      </w:pPr>
      <w:r>
        <w:rPr>
          <w:rFonts w:ascii="Arial" w:hAnsi="Arial"/>
          <w:b/>
          <w:smallCaps/>
          <w:color w:val="000000"/>
          <w:sz w:val="20"/>
        </w:rPr>
        <w:t>In Witness Whereof</w:t>
      </w:r>
      <w:r>
        <w:rPr>
          <w:rFonts w:ascii="Arial" w:hAnsi="Arial"/>
          <w:color w:val="000000"/>
          <w:sz w:val="20"/>
        </w:rPr>
        <w:t>, the Parties have caused this Second Amendment to be executed by their respective duly authorized officers as of the Second Amendment Effective Date.</w:t>
      </w:r>
    </w:p>
    <w:p>
      <w:pPr>
        <w:pStyle w:val="TextBody"/>
        <w:bidi w:val="0"/>
        <w:spacing w:before="240" w:after="240"/>
        <w:jc w:val="left"/>
        <w:rPr>
          <w:rFonts w:ascii="Arial" w:hAnsi="Arial"/>
          <w:b/>
          <w:smallCaps/>
          <w:color w:val="000000"/>
          <w:sz w:val="20"/>
        </w:rPr>
      </w:pPr>
      <w:r>
        <w:rPr>
          <w:rFonts w:ascii="Arial" w:hAnsi="Arial"/>
          <w:b/>
          <w:smallCaps/>
          <w:color w:val="000000"/>
          <w:sz w:val="20"/>
        </w:rPr>
        <w:t>Flagship Pioneering Innovations V, Inc.</w:t>
      </w:r>
    </w:p>
    <w:p>
      <w:pPr>
        <w:pStyle w:val="TextBody"/>
        <w:bidi w:val="0"/>
        <w:spacing w:before="360" w:after="283"/>
        <w:jc w:val="left"/>
        <w:rPr>
          <w:rFonts w:ascii="Arial" w:hAnsi="Arial"/>
          <w:sz w:val="20"/>
        </w:rPr>
      </w:pPr>
      <w:r>
        <w:rPr>
          <w:rFonts w:ascii="Arial" w:hAnsi="Arial"/>
          <w:color w:val="000000"/>
          <w:sz w:val="20"/>
        </w:rPr>
        <w:t xml:space="preserve">By: </w:t>
      </w:r>
      <w:r>
        <w:rPr>
          <w:rFonts w:ascii="Arial" w:hAnsi="Arial"/>
          <w:color w:val="000000"/>
          <w:sz w:val="20"/>
          <w:u w:val="single"/>
        </w:rPr>
        <w:t xml:space="preserve">/s/ Charles Carelli </w:t>
      </w:r>
    </w:p>
    <w:p>
      <w:pPr>
        <w:pStyle w:val="TextBody"/>
        <w:bidi w:val="0"/>
        <w:jc w:val="left"/>
        <w:rPr>
          <w:rFonts w:ascii="Arial" w:hAnsi="Arial"/>
          <w:color w:val="000000"/>
          <w:sz w:val="20"/>
        </w:rPr>
      </w:pPr>
      <w:r>
        <w:rPr>
          <w:rFonts w:ascii="Arial" w:hAnsi="Arial"/>
          <w:color w:val="000000"/>
          <w:sz w:val="20"/>
        </w:rPr>
        <w:t>Name: Charles Carelli</w:t>
      </w:r>
    </w:p>
    <w:p>
      <w:pPr>
        <w:pStyle w:val="TextBody"/>
        <w:bidi w:val="0"/>
        <w:jc w:val="left"/>
        <w:rPr>
          <w:rFonts w:ascii="Arial" w:hAnsi="Arial"/>
          <w:color w:val="000000"/>
          <w:sz w:val="20"/>
        </w:rPr>
      </w:pPr>
      <w:r>
        <w:rPr>
          <w:rFonts w:ascii="Arial" w:hAnsi="Arial"/>
          <w:color w:val="000000"/>
          <w:sz w:val="20"/>
        </w:rPr>
        <w:t>Title: Authorized Signatory</w:t>
      </w:r>
    </w:p>
    <w:p>
      <w:pPr>
        <w:pStyle w:val="TextBody"/>
        <w:bidi w:val="0"/>
        <w:spacing w:before="480" w:after="240"/>
        <w:jc w:val="left"/>
        <w:rPr>
          <w:rFonts w:ascii="Arial" w:hAnsi="Arial"/>
          <w:b/>
          <w:smallCaps/>
          <w:color w:val="000000"/>
          <w:sz w:val="20"/>
        </w:rPr>
      </w:pPr>
      <w:r>
        <w:rPr>
          <w:rFonts w:ascii="Arial" w:hAnsi="Arial"/>
          <w:b/>
          <w:smallCaps/>
          <w:color w:val="000000"/>
          <w:sz w:val="20"/>
        </w:rPr>
        <w:t>Cobalt Biomedicine, Inc.</w:t>
      </w:r>
    </w:p>
    <w:p>
      <w:pPr>
        <w:pStyle w:val="TextBody"/>
        <w:bidi w:val="0"/>
        <w:spacing w:before="360" w:after="283"/>
        <w:jc w:val="left"/>
        <w:rPr>
          <w:rFonts w:ascii="Arial" w:hAnsi="Arial"/>
          <w:sz w:val="20"/>
        </w:rPr>
      </w:pPr>
      <w:r>
        <w:rPr>
          <w:rFonts w:ascii="Arial" w:hAnsi="Arial"/>
          <w:color w:val="000000"/>
          <w:sz w:val="20"/>
        </w:rPr>
        <w:t xml:space="preserve">By: </w:t>
      </w:r>
      <w:r>
        <w:rPr>
          <w:rFonts w:ascii="Arial" w:hAnsi="Arial"/>
          <w:color w:val="000000"/>
          <w:sz w:val="20"/>
          <w:u w:val="single"/>
        </w:rPr>
        <w:t xml:space="preserve">/s/ Steve Harr </w:t>
      </w:r>
    </w:p>
    <w:p>
      <w:pPr>
        <w:pStyle w:val="TextBody"/>
        <w:bidi w:val="0"/>
        <w:jc w:val="left"/>
        <w:rPr>
          <w:rFonts w:ascii="Arial" w:hAnsi="Arial"/>
          <w:color w:val="000000"/>
          <w:sz w:val="20"/>
        </w:rPr>
      </w:pPr>
      <w:r>
        <w:rPr>
          <w:rFonts w:ascii="Arial" w:hAnsi="Arial"/>
          <w:color w:val="000000"/>
          <w:sz w:val="20"/>
        </w:rPr>
        <w:t>Name: Steve Harr</w:t>
      </w:r>
    </w:p>
    <w:p>
      <w:pPr>
        <w:pStyle w:val="TextBody"/>
        <w:bidi w:val="0"/>
        <w:jc w:val="left"/>
        <w:rPr>
          <w:rFonts w:ascii="Arial" w:hAnsi="Arial"/>
          <w:color w:val="000000"/>
          <w:sz w:val="20"/>
        </w:rPr>
      </w:pPr>
      <w:r>
        <w:rPr>
          <w:rFonts w:ascii="Arial" w:hAnsi="Arial"/>
          <w:color w:val="000000"/>
          <w:sz w:val="20"/>
        </w:rPr>
        <w:t>Title: CEO</w:t>
      </w:r>
    </w:p>
    <w:p>
      <w:pPr>
        <w:pStyle w:val="TextBody"/>
        <w:bidi w:val="0"/>
        <w:spacing w:before="0" w:after="240"/>
        <w:jc w:val="center"/>
        <w:rPr>
          <w:rFonts w:ascii="Arial" w:hAnsi="Arial"/>
          <w:b/>
          <w:smallCaps/>
          <w:color w:val="000000"/>
          <w:sz w:val="20"/>
        </w:rPr>
      </w:pPr>
      <w:r>
        <w:rPr>
          <w:rFonts w:ascii="Arial" w:hAnsi="Arial"/>
          <w:b/>
          <w:smallCaps/>
          <w:color w:val="000000"/>
          <w:sz w:val="20"/>
        </w:rPr>
        <w:t>Signature Page to Second Amendment to License Agreement</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bookmarkStart w:id="25" w:name="sana-ex31_1.htm"/>
      <w:bookmarkStart w:id="26" w:name="kssanaex31_1"/>
      <w:bookmarkEnd w:id="25"/>
      <w:bookmarkEnd w:id="26"/>
      <w: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Steven D. Harr, M.D.,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Sana Biotechnology,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pPr>
      <w:r>
        <w:t> </w:t>
      </w:r>
    </w:p>
    <w:tbl>
      <w:tblPr>
        <w:tblW w:w="5872" w:type="dxa"/>
        <w:jc w:val="left"/>
        <w:tblInd w:w="0" w:type="dxa"/>
        <w:tblLayout w:type="fixed"/>
        <w:tblCellMar>
          <w:top w:w="28" w:type="dxa"/>
          <w:left w:w="28" w:type="dxa"/>
          <w:bottom w:w="28" w:type="dxa"/>
          <w:right w:w="28" w:type="dxa"/>
        </w:tblCellMar>
      </w:tblPr>
      <w:tblGrid>
        <w:gridCol w:w="2101"/>
        <w:gridCol w:w="109"/>
        <w:gridCol w:w="406"/>
        <w:gridCol w:w="3256"/>
      </w:tblGrid>
      <w:t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Steven D. Harr, M.D.</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Steven D. Harr, M.D.</w:t>
            </w:r>
          </w:p>
          <w:p>
            <w:pPr>
              <w:pStyle w:val="TableContents"/>
              <w:bidi w:val="0"/>
              <w:jc w:val="center"/>
              <w:rPr>
                <w:rFonts w:ascii="Times New Roman" w:hAnsi="Times New Roman"/>
                <w:color w:val="000000"/>
                <w:sz w:val="20"/>
              </w:rPr>
            </w:pPr>
            <w:r>
              <w:rPr>
                <w:rFonts w:ascii="Times New Roman" w:hAnsi="Times New Roman"/>
                <w:color w:val="000000"/>
                <w:sz w:val="20"/>
              </w:rPr>
              <w:t xml:space="preserve">President and Chief Executive Officer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bl>
    <w:p>
      <w:pPr>
        <w:pStyle w:val="TextBody"/>
        <w:bidi w:val="0"/>
        <w:jc w:val="left"/>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bookmarkStart w:id="27" w:name="sana-ex31_2.htm"/>
      <w:bookmarkStart w:id="28" w:name="kssanaex31_2"/>
      <w:bookmarkEnd w:id="27"/>
      <w:bookmarkEnd w:id="28"/>
      <w: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Brian Piper,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Sana Biotechnology,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pPr>
      <w:r>
        <w:t> </w:t>
      </w:r>
    </w:p>
    <w:tbl>
      <w:tblPr>
        <w:tblW w:w="6802" w:type="dxa"/>
        <w:jc w:val="left"/>
        <w:tblInd w:w="0" w:type="dxa"/>
        <w:tblLayout w:type="fixed"/>
        <w:tblCellMar>
          <w:top w:w="28" w:type="dxa"/>
          <w:left w:w="28" w:type="dxa"/>
          <w:bottom w:w="28" w:type="dxa"/>
          <w:right w:w="28" w:type="dxa"/>
        </w:tblCellMar>
      </w:tblPr>
      <w:tblGrid>
        <w:gridCol w:w="2101"/>
        <w:gridCol w:w="109"/>
        <w:gridCol w:w="406"/>
        <w:gridCol w:w="4186"/>
      </w:tblGrid>
      <w:t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Brian Piper</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Brian Piper</w:t>
            </w:r>
          </w:p>
          <w:p>
            <w:pPr>
              <w:pStyle w:val="TableContents"/>
              <w:bidi w:val="0"/>
              <w:jc w:val="center"/>
              <w:rPr>
                <w:rFonts w:ascii="Times New Roman" w:hAnsi="Times New Roman"/>
                <w:color w:val="000000"/>
                <w:sz w:val="20"/>
              </w:rPr>
            </w:pPr>
            <w:r>
              <w:rPr>
                <w:rFonts w:ascii="Times New Roman" w:hAnsi="Times New Roman"/>
                <w:color w:val="000000"/>
                <w:sz w:val="20"/>
              </w:rPr>
              <w:t xml:space="preserve">Executive Vice President, Chief Financial Officer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bl>
    <w:p>
      <w:pPr>
        <w:pStyle w:val="TextBody"/>
        <w:bidi w:val="0"/>
        <w:jc w:val="left"/>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right"/>
        <w:rPr>
          <w:rFonts w:ascii="Times New Roman" w:hAnsi="Times New Roman"/>
          <w:b/>
          <w:color w:val="000000"/>
          <w:sz w:val="20"/>
        </w:rPr>
      </w:pPr>
      <w:bookmarkStart w:id="29" w:name="sana-ex32_1.htm"/>
      <w:bookmarkStart w:id="30" w:name="kssanaex32_1"/>
      <w:bookmarkEnd w:id="29"/>
      <w:bookmarkEnd w:id="30"/>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Sana Biotechnology, Inc. (the “Company”) on Form 10-Q for the period ending September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pPr>
      <w:r>
        <w:t> </w:t>
      </w:r>
    </w:p>
    <w:tbl>
      <w:tblPr>
        <w:tblW w:w="5872" w:type="dxa"/>
        <w:jc w:val="left"/>
        <w:tblInd w:w="0" w:type="dxa"/>
        <w:tblLayout w:type="fixed"/>
        <w:tblCellMar>
          <w:top w:w="28" w:type="dxa"/>
          <w:left w:w="28" w:type="dxa"/>
          <w:bottom w:w="28" w:type="dxa"/>
          <w:right w:w="28" w:type="dxa"/>
        </w:tblCellMar>
      </w:tblPr>
      <w:tblGrid>
        <w:gridCol w:w="2101"/>
        <w:gridCol w:w="109"/>
        <w:gridCol w:w="406"/>
        <w:gridCol w:w="3256"/>
      </w:tblGrid>
      <w:t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Steven D. Harr, M.D.</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Steven D. Harr, M.D.</w:t>
            </w:r>
          </w:p>
          <w:p>
            <w:pPr>
              <w:pStyle w:val="TableContents"/>
              <w:bidi w:val="0"/>
              <w:jc w:val="center"/>
              <w:rPr>
                <w:rFonts w:ascii="Times New Roman" w:hAnsi="Times New Roman"/>
                <w:color w:val="000000"/>
                <w:sz w:val="20"/>
              </w:rPr>
            </w:pPr>
            <w:r>
              <w:rPr>
                <w:rFonts w:ascii="Times New Roman" w:hAnsi="Times New Roman"/>
                <w:color w:val="000000"/>
                <w:sz w:val="20"/>
              </w:rPr>
              <w:t xml:space="preserve">President and Chief Executive Officer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right"/>
        <w:rPr>
          <w:rFonts w:ascii="Times New Roman" w:hAnsi="Times New Roman"/>
          <w:b/>
          <w:color w:val="000000"/>
          <w:sz w:val="20"/>
        </w:rPr>
      </w:pPr>
      <w:bookmarkStart w:id="31" w:name="sana-ex32_2.htm"/>
      <w:bookmarkStart w:id="32" w:name="kssanaex32_2"/>
      <w:bookmarkEnd w:id="31"/>
      <w:bookmarkEnd w:id="32"/>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Sana Biotechnology, Inc. (the “Company”) on Form 10-Q for the period ending September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pPr>
      <w:r>
        <w:t> </w:t>
      </w:r>
    </w:p>
    <w:tbl>
      <w:tblPr>
        <w:tblW w:w="6802" w:type="dxa"/>
        <w:jc w:val="left"/>
        <w:tblInd w:w="0" w:type="dxa"/>
        <w:tblLayout w:type="fixed"/>
        <w:tblCellMar>
          <w:top w:w="28" w:type="dxa"/>
          <w:left w:w="28" w:type="dxa"/>
          <w:bottom w:w="28" w:type="dxa"/>
          <w:right w:w="28" w:type="dxa"/>
        </w:tblCellMar>
      </w:tblPr>
      <w:tblGrid>
        <w:gridCol w:w="2101"/>
        <w:gridCol w:w="109"/>
        <w:gridCol w:w="406"/>
        <w:gridCol w:w="4186"/>
      </w:tblGrid>
      <w:t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Brian Piper</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Brian Piper</w:t>
            </w:r>
          </w:p>
          <w:p>
            <w:pPr>
              <w:pStyle w:val="TableContents"/>
              <w:bidi w:val="0"/>
              <w:jc w:val="center"/>
              <w:rPr>
                <w:rFonts w:ascii="Times New Roman" w:hAnsi="Times New Roman"/>
                <w:color w:val="000000"/>
                <w:sz w:val="20"/>
              </w:rPr>
            </w:pPr>
            <w:r>
              <w:rPr>
                <w:rFonts w:ascii="Times New Roman" w:hAnsi="Times New Roman"/>
                <w:color w:val="000000"/>
                <w:sz w:val="20"/>
              </w:rPr>
              <w:t xml:space="preserve">Executive Vice President, Chief Financial Officer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bl>
    <w:p>
      <w:pPr>
        <w:pStyle w:val="TextBody"/>
        <w:bidi w:val="0"/>
        <w:jc w:val="left"/>
      </w:pPr>
      <w:r>
        <w:t> </w:t>
      </w:r>
    </w:p>
    <w:p>
      <w:pPr>
        <w:pStyle w:val="HorizontalLine"/>
        <w:pBdr>
          <w:bottom w:val="double" w:sz="2" w:space="0" w:color="808080"/>
        </w:pBdr>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770121/000119312521032935/d112159dex31.htm" TargetMode="External"/><Relationship Id="rId3" Type="http://schemas.openxmlformats.org/officeDocument/2006/relationships/hyperlink" Target="https://www.sec.gov/Archives/edgar/data/0001770121/000119312521032935/d112159dex32.htm" TargetMode="External"/><Relationship Id="rId4" Type="http://schemas.openxmlformats.org/officeDocument/2006/relationships/hyperlink" Target="https://www.sec.gov/Archives/edgar/data/0001770121/000119312521032935/d112159dex31.htm" TargetMode="External"/><Relationship Id="rId5" Type="http://schemas.openxmlformats.org/officeDocument/2006/relationships/hyperlink" Target="https://www.sec.gov/Archives/edgar/data/0001770121/000119312521032935/d112159dex32.htm" TargetMode="External"/><Relationship Id="rId6" Type="http://schemas.openxmlformats.org/officeDocument/2006/relationships/hyperlink" Target="https://www.sec.gov/Archives/edgar/data/0001770121/000119312521019984/d60414dex42.htm" TargetMode="External"/><Relationship Id="rId7" Type="http://schemas.openxmlformats.org/officeDocument/2006/relationships/hyperlink" Target="https://www.sec.gov/Archives/edgar/data/1770121/000119312524028506/d745670dex41.htm" TargetMode="External"/><Relationship Id="rId8" Type="http://schemas.openxmlformats.org/officeDocument/2006/relationships/hyperlink" Target="https://www.sec.gov/Archives/edgar/data/1770121/000119312525175571/d83666dex4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89217</Words>
  <Characters>499677</Characters>
  <CharactersWithSpaces>589594</CharactersWithSpaces>
  <Paragraphs>7280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