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7,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Steven D. Harr, M.D.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and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Sana Biotechnology,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188 East Blaine Street, Suite 400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Seattle, Washington 98102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Sana Biotechnology,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November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10, 2020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0001770121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Dr. Harr: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Overview, page 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basis for your belief stated in the first paragraph that engineered cells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will have a therapeutic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potential that will be "at least as disruptive" as biologics. Please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also tell us why you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it is appropriate to cite the amount of global revenues for all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branded biologic drugs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when you do not have any product candidates in development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beyond the preclinical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stage and which address only certain indications.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We note your disclosure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1 that you "expect to file multiple INDs per year." Given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 unpredictability of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drug development, please remove this statement and a similar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Steven D. Harr, M.D.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LastNameSteven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Sana Biotechnology, Inc. D. Harr, M.D.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Comapany7,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</w:t>
        <w:tab/>
        <w:t>NameSana</w:t>
      </w:r>
    </w:p>
    <w:p>
      <w:pPr>
        <w:ind w:left="1380"/>
        <w:spacing w:after="0"/>
        <w:tabs>
          <w:tab w:leader="none" w:pos="22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Biotechnology, 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7, 2020 Page 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statement in the Business section as such statements are speculative.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1 and in the Business section that you have shown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can specifically target numerous cell surface receptors that, when combined with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delivery vehicles to form fusosomes, allow cell-specific delivery across multiple different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cell types. Please revise the second paragraph of the Summary and the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 in the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section to clarify that you have not conducted clinical development efforts to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pipeline table on page 2 to include a separate column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preclinical, Phase 1, Phase 2 and Phase 3 and to provide the indications that you are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actually pursuing as opposed to the "potential" indications. It appears that you have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included every in-house program in your pipeline table. Please explain to us why each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program is sufficiently material to your business to warrant inclusion in your pipeline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table or revise your table as appropriate.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in vivo Cell Engineering Platform and Programs, page 4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here and in the Business section that your fusogen technology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should allow you to rapidly create multiple therapies targeting a variety of diseases with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each successful fusogen and accelerate development of subsequent therapies targeting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same cell type. Please revise these statements and any similar statements to remove any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implication that you will be able to accelerate the development of your product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candidates. Please also revise the statements here and in the Business section that success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initial therapy targeting a given cell type meaningfully "de-risks" development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subsequent therapies targeting that same cell type and any similar statements that imply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you will be successful in mitigating the risk associated with drug development.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your preclinical data demonstrate that you can make an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"effective" CAR T cell in vivo with a single intravenous injection. Efficacy 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determination that is solely within the authority of the FDA or similar foreign regulators.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present clinical trial end points and objective data resulting from trials without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concluding efficacy. Please revise this statement accordingly. Risks Associated with Our Business, page 11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the second to last bullet point in this section or add another bullet point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 the risks associated with the licensed technology and the related agreements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with Harvard, UCSF, Washington University, Cobalt, Oscine and Cytocardia as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11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discussed in the risk factor on page 61. Implications of Being an Emerging Growth Company, page 12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supplementally provide us with copies of all written communications, as defined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Rule 405 under the Securities Act, that you, or anyone authorized to do so on your behalf,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 to potential investors in reliance on Section 5(d) of the Securities Act, whether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599" w:firstLine="105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Steven D. Harr, M.D. Sana Biotechnology, Inc. December 7, 2020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they retain copies of the communications. Risk Factors, page 18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Given the length of your risk factor section, please revise to comply with Regulation S-K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105 by relocating risks that could generically apply to any registrant or offering to</w:t>
      </w:r>
    </w:p>
    <w:p>
      <w:pPr>
        <w:ind w:left="960"/>
        <w:spacing w:after="0"/>
        <w:tabs>
          <w:tab w:leader="none" w:pos="5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end of the section under the caption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General Risk Factors.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Risks Related to Intellectual Property and Information Technology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may be dependent on intellectual property licensed or sublicensed to us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from..., page 66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65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government agencies have provided assistance in connection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the development of certain intellectual property rights owned by or licensed to you,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2" w:name="page3"/>
    <w:bookmarkEnd w:id="2"/>
    <w:p>
      <w:pPr>
        <w:ind w:right="27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these government agencies may have retained rights in the intellectual property.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this risk factor to identify the intellectual property or technologies and what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rights in the intellectual property the government agencies have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retained.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 of Proceeds, page 91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identify the specific product candidates for which you intend to use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proceeds of this offering and how far in their development you intend to get using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proceeds of this offering.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 Based Compensation, page 118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Once you have an estimated offering price or range, please explain to us how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determined the fair value of the common stock underlying your equity issuances and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reasons for any differences between the recent valuations of your common stock leading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up to the IPO and the estimated offering price. This information will help facilitate 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review of your accounting for equity issuances including stock compensation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beneficial conversion features. Please discuss with the staff how to submit your response.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on page 120 that you used the backsolve method for inferring the equity value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implied by a recent financing transaction. Tell us why you believe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contemporaneous financing transactions were arms' length transactions. Business, page 121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35" w:lineRule="auto"/>
        <w:tabs>
          <w:tab w:leader="none" w:pos="737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 statements in this section that you are uniquely positioned to develop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transformative engineered cells as medicines and that you can increase your likelihood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LastNameSteven D. Harr, M.D.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success. These statements are not appropriate given the number of companies currently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NameSana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developing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Biotechnology,</w:t>
      </w:r>
    </w:p>
    <w:p>
      <w:pPr>
        <w:ind w:left="2000"/>
        <w:spacing w:after="0" w:line="238" w:lineRule="auto"/>
        <w:tabs>
          <w:tab w:leader="none" w:pos="42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Inc.the number of product candidates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never receive</w:t>
      </w:r>
    </w:p>
    <w:p>
      <w:pPr>
        <w:ind w:left="29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candidates and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FDA7,approval.</w:t>
      </w:r>
    </w:p>
    <w:p>
      <w:pPr>
        <w:spacing w:after="0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2020 Page 3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Steven D. Harr, M.D.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LastNameSteven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Sana Biotechnology, Inc. D. Harr, M.D.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Comapany7,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</w:t>
        <w:tab/>
        <w:t>NameSana</w:t>
      </w:r>
    </w:p>
    <w:p>
      <w:pPr>
        <w:ind w:left="1380"/>
        <w:spacing w:after="0" w:line="237" w:lineRule="auto"/>
        <w:tabs>
          <w:tab w:leader="none" w:pos="22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Biotechnology,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7, 2020 Page 4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T Cell Fusosome Approach, page 138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remove the reference to potential "first-in-class" product candidates as this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implies an expectation of regulatory approval and is inappropriate given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length of time and uncertainty with respect to securing marketing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approval.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Intellectual Property, page 184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disclose the type of patent protection you have (composition of matter,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 or process) and the material foreign jurisdictions where you have patents or pending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patent applications.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Key Intellectual Property Agreements, page 187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the current expiration date for the last-to-expire licensed patent right under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each of the agreements in this section if the royalty term for such agreement is determined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</w:sectPr>
      </w:pPr>
    </w:p>
    <w:bookmarkStart w:id="3" w:name="page4"/>
    <w:bookmarkEnd w:id="3"/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using such information.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Principal Stockholders, page 235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 to identify the natural person or persons who have voting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investment control of the shares held by F-Prime Fund VI.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399" w:firstLine="8"/>
        <w:spacing w:after="0" w:line="235" w:lineRule="auto"/>
        <w:tabs>
          <w:tab w:leader="none" w:pos="316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 of significant accounting policies Acquisitions, page F-8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that in an asset acquisition, amounts allocated to IPR&amp;D are recorded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research and development expense if they do not have an alternative future use. Refer to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ASC 730-10-25-2c.</w:t>
      </w:r>
    </w:p>
    <w:p>
      <w:pPr>
        <w:ind w:left="320" w:hanging="312"/>
        <w:spacing w:after="0" w:line="238" w:lineRule="auto"/>
        <w:tabs>
          <w:tab w:leader="none" w:pos="32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Acquisitions, page F-16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clarify, in Management's Discussion and Analysis and elsewhere in the filing as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appropriate, the amount of any payment expected to be paid upon the IPO or within 12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months after the IPO. In this respect we note the following: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136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on page F-17 that the valuation measurement dates for the Cobalt Success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136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payment are triggered by an IPO at a time when at least one company program using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136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technology acquired from Cobalt is currently in a clinical trial, has been submitted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136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FDA for approval, or has been approved by the FDA. You also state that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136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valuation measurement dates are triggered upon a change of control when at least one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136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your programs based on fusogen technology is subject of an active research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3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program.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3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For the Harvard College agreement you state on page F-20 that the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milestone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136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payments of up to $76 million would double upon a change of control. In addition,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3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the success payment measurement dates are triggered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an equity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136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financing of more than $25.0 million as well as the one year anniversary of an IPO.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599" w:firstLine="105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Steven D. Harr, M.D. Sana Biotechnology, Inc. December 7, 2020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5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632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the Cobalt Success payments, clarify the triggering points in which Success payments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 be made. For example, clarify if an ongoing clinical trial would trigger a payment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the ongoing clinical trial has to also be submitted to the FDA for approval to trigger 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payment. In addition, clarify if you currently are undergoing a program based on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fusogen technology which is the subject of an active research program, which would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trigger a Success payment and how much. Finally, please clarify for both the Harvard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Cobalt agreements that a change of control includes an IPO, if such is the case, that could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 in Success payments.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0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 for the Years Ended December 31, 2019 Notes to Consolidated Financial Statements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Convertible preferred stock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Rights issued with Series A-1 and Series A-2 convertible preferred stock Conversion, page F-26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8"/>
        <w:spacing w:after="0" w:line="235" w:lineRule="auto"/>
        <w:tabs>
          <w:tab w:leader="none" w:pos="632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on page 111 that all outstanding shares of convertible preferred stock will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convert into shares of your common stock. On page F-53 you state that the Series A-1,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Series A-2, and Series B convertible preferred stock will automatically convert into shares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Company's common stock upon closing of the sale of shares of common stock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public in an underwritten public offering at a price that generates at least $75.0 million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gross proceeds pursuant to an effective registration statement in which the shares will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listed on a national securities exchange. You also state on page F-53 that the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4" w:name="page5"/>
    <w:bookmarkEnd w:id="4"/>
    <w:p>
      <w:pPr>
        <w:ind w:right="223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convertible preferred stock will automatically convert into shares of common stock upon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65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vote or written consent of the holders of at least 61% of the outstanding convertible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preferred stock, voting together as a single class, which must include a majority of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Series B preferred stock held by the investors that purchased at least $29 million in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Series B financing. Please clarify in the filing why you believe all convertible preferred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 will convert into common stock upon the IPO, given the above conditions to</w:t>
      </w: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conversion.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8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Tracie Mariner at 202-551-3744 or Mary Mast at 202-551-3613 if you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Ada D. Sarmento at 202-551-3798 or Mary Beth Breslin at 202-551-3625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other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LastNameSteven D. Harr, M.D.</w:t>
      </w:r>
    </w:p>
    <w:p>
      <w:pPr>
        <w:ind w:left="6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NameSana Biotechnology, Inc.</w:t>
      </w:r>
    </w:p>
    <w:p>
      <w:pPr>
        <w:ind w:left="6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7, 2020 Page 5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6979" w:firstLine="8"/>
        <w:spacing w:after="0" w:line="235" w:lineRule="auto"/>
        <w:tabs>
          <w:tab w:leader="none" w:pos="1053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Brian J. Cuneo, Esq. FirstName LastName</w:t>
      </w:r>
    </w:p>
    <w:sectPr>
      <w:pgSz w:w="11900" w:h="16838" w:orient="portrait"/>
      <w:cols w:equalWidth="0" w:num="1">
        <w:col w:w="10139"/>
      </w:cols>
      <w:pgMar w:left="320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41B71EFB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79E2A9E3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7545E146"/>
    <w:multiLevelType w:val="hybridMultilevel"/>
    <w:lvl w:ilvl="0">
      <w:lvlJc w:val="left"/>
      <w:lvlText w:val="%1."/>
      <w:numFmt w:val="decimal"/>
      <w:start w:val="10"/>
    </w:lvl>
  </w:abstractNum>
  <w:abstractNum w:abstractNumId="3">
    <w:nsid w:val="515F007C"/>
    <w:multiLevelType w:val="hybridMultilevel"/>
    <w:lvl w:ilvl="0">
      <w:lvlJc w:val="left"/>
      <w:lvlText w:val="%1."/>
      <w:numFmt w:val="decimal"/>
      <w:start w:val="11"/>
    </w:lvl>
  </w:abstractNum>
  <w:abstractNum w:abstractNumId="4">
    <w:nsid w:val="5BD062C2"/>
    <w:multiLevelType w:val="hybridMultilevel"/>
    <w:lvl w:ilvl="0">
      <w:lvlJc w:val="left"/>
      <w:lvlText w:val="%1."/>
      <w:numFmt w:val="decimal"/>
      <w:start w:val="15"/>
    </w:lvl>
  </w:abstractNum>
  <w:abstractNum w:abstractNumId="5">
    <w:nsid w:val="12200854"/>
    <w:multiLevelType w:val="hybridMultilevel"/>
    <w:lvl w:ilvl="0">
      <w:lvlJc w:val="left"/>
      <w:lvlText w:val="%1."/>
      <w:numFmt w:val="decimal"/>
      <w:start w:val="18"/>
    </w:lvl>
  </w:abstractNum>
  <w:abstractNum w:abstractNumId="6">
    <w:nsid w:val="4DB127F8"/>
    <w:multiLevelType w:val="hybridMultilevel"/>
    <w:lvl w:ilvl="0">
      <w:lvlJc w:val="left"/>
      <w:lvlText w:val="%1."/>
      <w:numFmt w:val="decimal"/>
      <w:start w:val="2"/>
    </w:lvl>
  </w:abstractNum>
  <w:abstractNum w:abstractNumId="7">
    <w:nsid w:val="216231B"/>
    <w:multiLevelType w:val="hybridMultilevel"/>
    <w:lvl w:ilvl="0">
      <w:lvlJc w:val="left"/>
      <w:lvlText w:val="%1."/>
      <w:numFmt w:val="decimal"/>
      <w:start w:val="19"/>
    </w:lvl>
  </w:abstractNum>
  <w:abstractNum w:abstractNumId="8">
    <w:nsid w:val="1F16E9E8"/>
    <w:multiLevelType w:val="hybridMultilevel"/>
    <w:lvl w:ilvl="0">
      <w:lvlJc w:val="left"/>
      <w:lvlText w:val="%1."/>
      <w:numFmt w:val="decimal"/>
      <w:start w:val="3"/>
    </w:lvl>
  </w:abstractNum>
  <w:abstractNum w:abstractNumId="9">
    <w:nsid w:val="1190CDE7"/>
    <w:multiLevelType w:val="hybridMultilevel"/>
    <w:lvl w:ilvl="0">
      <w:lvlJc w:val="left"/>
      <w:lvlText w:val="%1."/>
      <w:numFmt w:val="decimal"/>
      <w:start w:val="20"/>
    </w:lvl>
  </w:abstractNum>
  <w:abstractNum w:abstractNumId="10">
    <w:nsid w:val="66EF438D"/>
    <w:multiLevelType w:val="hybridMultilevel"/>
    <w:lvl w:ilvl="0">
      <w:lvlJc w:val="left"/>
      <w:lvlText w:val="%1."/>
      <w:numFmt w:val="decimal"/>
      <w:start w:val="11"/>
    </w:lvl>
  </w:abstractNum>
  <w:abstractNum w:abstractNumId="11">
    <w:nsid w:val="140E0F76"/>
    <w:multiLevelType w:val="hybridMultilevel"/>
    <w:lvl w:ilvl="0">
      <w:lvlJc w:val="left"/>
      <w:lvlText w:val="%1."/>
      <w:numFmt w:val="decimal"/>
      <w:start w:val="22"/>
    </w:lvl>
  </w:abstractNum>
  <w:abstractNum w:abstractNumId="12">
    <w:nsid w:val="3352255A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2022-03-08T22:40:07Z</dcterms:created>
  <dcterms:modified xsi:type="dcterms:W3CDTF">2022-03-08T22:40:07Z</dcterms:modified>
</cp:coreProperties>
</file>