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588010</wp:posOffset>
            </wp:positionH>
            <wp:positionV relativeFrom="page">
              <wp:posOffset>582930</wp:posOffset>
            </wp:positionV>
            <wp:extent cx="171005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00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color w:val="005F9E"/>
        </w:rPr>
        <w:t>Annual Report</w:t>
      </w:r>
    </w:p>
    <w:p>
      <w:pPr>
        <w:sectPr>
          <w:pgSz w:w="11880" w:h="15480" w:orient="portrait"/>
          <w:cols w:equalWidth="0" w:num="1">
            <w:col w:w="9000"/>
          </w:cols>
          <w:pgMar w:left="1440" w:top="1440" w:right="1440" w:bottom="1440" w:gutter="0" w:footer="0" w:header="0"/>
        </w:sectPr>
      </w:pP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6"/>
          <w:szCs w:val="56"/>
          <w:color w:val="005F9E"/>
        </w:rPr>
        <w:t>2 0 2 5</w:t>
      </w:r>
    </w:p>
    <w:p>
      <w:pPr>
        <w:sectPr>
          <w:pgSz w:w="11880" w:h="15480" w:orient="portrait"/>
          <w:cols w:equalWidth="0" w:num="1">
            <w:col w:w="9000"/>
          </w:cols>
          <w:pgMar w:left="144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32"/>
          <w:szCs w:val="32"/>
          <w:color w:val="005F9E"/>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2724150" cy="2309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4150" cy="230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4"/>
          <w:szCs w:val="14"/>
          <w:color w:val="231F20"/>
        </w:rPr>
        <w:t xml:space="preserve">We started Sana with a vision of bringing together people and technologies to deliver on the promise of engineered cells as medicines. We prioritized tackling two </w:t>
      </w:r>
      <w:r>
        <w:rPr>
          <w:rFonts w:ascii="PMingLiU" w:cs="PMingLiU" w:eastAsia="PMingLiU" w:hAnsi="PMingLiU"/>
          <w:sz w:val="14"/>
          <w:szCs w:val="14"/>
          <w:color w:val="231F20"/>
        </w:rPr>
        <w:t xml:space="preserve">VFLHQWL¿FFKDOOHQJHVRYHUFRPLQJLPPXQHUHMHFWLRQRI </w:t>
      </w:r>
      <w:r>
        <w:rPr>
          <w:rFonts w:ascii="Times New Roman" w:cs="Times New Roman" w:eastAsia="Times New Roman" w:hAnsi="Times New Roman"/>
          <w:sz w:val="14"/>
          <w:szCs w:val="14"/>
          <w:color w:val="231F20"/>
        </w:rPr>
        <w:t xml:space="preserve">allogeneic cells to make cell therapy more effective and </w:t>
      </w:r>
      <w:r>
        <w:rPr>
          <w:rFonts w:ascii="PMingLiU" w:cs="PMingLiU" w:eastAsia="PMingLiU" w:hAnsi="PMingLiU"/>
          <w:sz w:val="14"/>
          <w:szCs w:val="14"/>
          <w:color w:val="231F20"/>
        </w:rPr>
        <w:t xml:space="preserve">FHOOVSHFL¿FGHOLYHU\RIJHQHWLFPDWHULDOLQSDWLHQWVWR </w:t>
      </w:r>
      <w:r>
        <w:rPr>
          <w:rFonts w:ascii="Times New Roman" w:cs="Times New Roman" w:eastAsia="Times New Roman" w:hAnsi="Times New Roman"/>
          <w:sz w:val="14"/>
          <w:szCs w:val="14"/>
          <w:color w:val="231F20"/>
        </w:rPr>
        <w:t xml:space="preserve">make gene therapy more effective. A bold mission is never without challenges, and we have had them. However, </w:t>
      </w:r>
      <w:r>
        <w:rPr>
          <w:rFonts w:ascii="PMingLiU" w:cs="PMingLiU" w:eastAsia="PMingLiU" w:hAnsi="PMingLiU"/>
          <w:sz w:val="14"/>
          <w:szCs w:val="14"/>
          <w:color w:val="231F20"/>
        </w:rPr>
        <w:t xml:space="preserve">WKH\KDYHFODUL¿HGDQGDOLJQHGRXUYLVLRQVWUDWHJ\ </w:t>
      </w:r>
      <w:r>
        <w:rPr>
          <w:rFonts w:ascii="Times New Roman" w:cs="Times New Roman" w:eastAsia="Times New Roman" w:hAnsi="Times New Roman"/>
          <w:sz w:val="14"/>
          <w:szCs w:val="14"/>
          <w:color w:val="231F20"/>
        </w:rPr>
        <w:t xml:space="preserve">priorities, and activities. We are a lean, sharp, and focused organization that has prioritized opportunities where we believe we can deliver differentiated therapies for patients. </w:t>
      </w:r>
      <w:r>
        <w:rPr>
          <w:rFonts w:ascii="PMingLiU" w:cs="PMingLiU" w:eastAsia="PMingLiU" w:hAnsi="PMingLiU"/>
          <w:sz w:val="14"/>
          <w:szCs w:val="14"/>
          <w:color w:val="231F20"/>
        </w:rPr>
        <w:t xml:space="preserve">:HVHHDIXWXUHIRUDWOHDVWWKHQH[W¿YH\HDUVZKHUHRXU </w:t>
      </w:r>
      <w:r>
        <w:rPr>
          <w:rFonts w:ascii="Times New Roman" w:cs="Times New Roman" w:eastAsia="Times New Roman" w:hAnsi="Times New Roman"/>
          <w:sz w:val="14"/>
          <w:szCs w:val="14"/>
          <w:color w:val="231F20"/>
        </w:rPr>
        <w:t>impact and value will be driven by two categories, each</w:t>
      </w:r>
    </w:p>
    <w:p>
      <w:pPr>
        <w:spacing w:after="0" w:line="157" w:lineRule="exact"/>
        <w:rPr>
          <w:sz w:val="20"/>
          <w:szCs w:val="20"/>
          <w:color w:val="auto"/>
        </w:rPr>
      </w:pPr>
    </w:p>
    <w:p>
      <w:pPr>
        <w:ind w:right="60"/>
        <w:spacing w:after="0" w:line="307" w:lineRule="auto"/>
        <w:rPr>
          <w:sz w:val="20"/>
          <w:szCs w:val="20"/>
          <w:color w:val="auto"/>
        </w:rPr>
      </w:pPr>
      <w:r>
        <w:rPr>
          <w:rFonts w:ascii="PMingLiU" w:cs="PMingLiU" w:eastAsia="PMingLiU" w:hAnsi="PMingLiU"/>
          <w:sz w:val="15"/>
          <w:szCs w:val="15"/>
          <w:color w:val="231F20"/>
        </w:rPr>
        <w:t xml:space="preserve">LPSRUWDQWDQGZLWKFRPSOHWHO\XQFRUUHODWHGVFLHQWL¿F ULVNDFHOOWKHUDS\ZLWKFXUDWLYHSRWHQWLDOIRUSDWLHQWV ZLWKW\SHGLDEHWHVDQG </w:t>
      </w:r>
      <w:r>
        <w:rPr>
          <w:rFonts w:ascii="Times New Roman" w:cs="Times New Roman" w:eastAsia="Times New Roman" w:hAnsi="Times New Roman"/>
          <w:sz w:val="15"/>
          <w:szCs w:val="15"/>
          <w:i w:val="1"/>
          <w:iCs w:val="1"/>
          <w:color w:val="231F20"/>
        </w:rPr>
        <w:t>in vivo</w:t>
      </w:r>
      <w:r>
        <w:rPr>
          <w:rFonts w:ascii="PMingLiU" w:cs="PMingLiU" w:eastAsia="PMingLiU" w:hAnsi="PMingLiU"/>
          <w:sz w:val="15"/>
          <w:szCs w:val="15"/>
          <w:color w:val="231F20"/>
        </w:rPr>
        <w:t xml:space="preserve"> </w:t>
      </w:r>
      <w:r>
        <w:rPr>
          <w:rFonts w:ascii="Times New Roman" w:cs="Times New Roman" w:eastAsia="Times New Roman" w:hAnsi="Times New Roman"/>
          <w:sz w:val="15"/>
          <w:szCs w:val="15"/>
          <w:color w:val="231F20"/>
        </w:rPr>
        <w:t>CAR T cells that offer</w:t>
      </w:r>
      <w:r>
        <w:rPr>
          <w:rFonts w:ascii="PMingLiU" w:cs="PMingLiU" w:eastAsia="PMingLiU" w:hAnsi="PMingLiU"/>
          <w:sz w:val="15"/>
          <w:szCs w:val="15"/>
          <w:color w:val="231F20"/>
        </w:rPr>
        <w:t xml:space="preserve"> </w:t>
      </w:r>
      <w:r>
        <w:rPr>
          <w:rFonts w:ascii="Times New Roman" w:cs="Times New Roman" w:eastAsia="Times New Roman" w:hAnsi="Times New Roman"/>
          <w:sz w:val="15"/>
          <w:szCs w:val="15"/>
          <w:color w:val="231F20"/>
        </w:rPr>
        <w:t xml:space="preserve">curative potential to patients with certain blood cancers </w:t>
      </w:r>
      <w:r>
        <w:rPr>
          <w:rFonts w:ascii="PMingLiU" w:cs="PMingLiU" w:eastAsia="PMingLiU" w:hAnsi="PMingLiU"/>
          <w:sz w:val="15"/>
          <w:szCs w:val="15"/>
          <w:color w:val="231F20"/>
        </w:rPr>
        <w:t>DQG%FHOOPHGLDWHGDXWRLPPXQHGLVHDVHV:HDUHRQWKH</w:t>
      </w:r>
    </w:p>
    <w:p>
      <w:pPr>
        <w:spacing w:after="0" w:line="2" w:lineRule="exact"/>
        <w:rPr>
          <w:sz w:val="20"/>
          <w:szCs w:val="20"/>
          <w:color w:val="auto"/>
        </w:rPr>
      </w:pPr>
    </w:p>
    <w:p>
      <w:pPr>
        <w:jc w:val="both"/>
        <w:ind w:right="240"/>
        <w:spacing w:after="0" w:line="351" w:lineRule="auto"/>
        <w:rPr>
          <w:sz w:val="20"/>
          <w:szCs w:val="20"/>
          <w:color w:val="auto"/>
        </w:rPr>
      </w:pPr>
      <w:r>
        <w:rPr>
          <w:rFonts w:ascii="PMingLiU" w:cs="PMingLiU" w:eastAsia="PMingLiU" w:hAnsi="PMingLiU"/>
          <w:sz w:val="15"/>
          <w:szCs w:val="15"/>
          <w:color w:val="231F20"/>
        </w:rPr>
        <w:t xml:space="preserve">SUHFLSLFHRIXQGHUVWDQGLQJKRZRXUVFLHQWL¿FDGYDQFHV </w:t>
      </w:r>
      <w:r>
        <w:rPr>
          <w:rFonts w:ascii="Times New Roman" w:cs="Times New Roman" w:eastAsia="Times New Roman" w:hAnsi="Times New Roman"/>
          <w:sz w:val="15"/>
          <w:szCs w:val="15"/>
          <w:color w:val="231F20"/>
        </w:rPr>
        <w:t>translate into therapies for people, and by this time next year, our future should be much clearer.</w:t>
      </w:r>
    </w:p>
    <w:p>
      <w:pPr>
        <w:spacing w:after="0" w:line="4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231F20"/>
        </w:rPr>
        <w:t>As outlined in last year’s shareholder letter, we view type 1 diabetes as a unique, compelling, and valuable opportunity. Almost 10 million people have this disease worldwide, and most are seeking a meaningfully better solution than current standards of care. We continue to</w:t>
      </w:r>
    </w:p>
    <w:p>
      <w:pPr>
        <w:spacing w:after="0" w:line="4" w:lineRule="exact"/>
        <w:rPr>
          <w:sz w:val="20"/>
          <w:szCs w:val="20"/>
          <w:color w:val="auto"/>
        </w:rPr>
      </w:pPr>
    </w:p>
    <w:p>
      <w:pPr>
        <w:ind w:right="160"/>
        <w:spacing w:after="0" w:line="326" w:lineRule="auto"/>
        <w:rPr>
          <w:sz w:val="20"/>
          <w:szCs w:val="20"/>
          <w:color w:val="auto"/>
        </w:rPr>
      </w:pPr>
      <w:r>
        <w:rPr>
          <w:rFonts w:ascii="PMingLiU" w:cs="PMingLiU" w:eastAsia="PMingLiU" w:hAnsi="PMingLiU"/>
          <w:sz w:val="14"/>
          <w:szCs w:val="14"/>
          <w:color w:val="231F20"/>
        </w:rPr>
        <w:t xml:space="preserve">SULRULWL]HLQYHVWPHQWLQWKLVDVVHWKDYHPDGHVLJQL¿FDQW </w:t>
      </w:r>
      <w:r>
        <w:rPr>
          <w:rFonts w:ascii="Times New Roman" w:cs="Times New Roman" w:eastAsia="Times New Roman" w:hAnsi="Times New Roman"/>
          <w:sz w:val="14"/>
          <w:szCs w:val="14"/>
          <w:color w:val="231F20"/>
        </w:rPr>
        <w:t>progress over the past year, and are working to begin</w:t>
      </w:r>
    </w:p>
    <w:p>
      <w:pPr>
        <w:spacing w:after="0" w:line="1"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6"/>
          <w:szCs w:val="16"/>
          <w:color w:val="231F20"/>
        </w:rPr>
        <w:t xml:space="preserve">a clinical trial for SC451 later this year. Our goal for SC451 is straightforward to state, but complex to achieve – a scalable single treatment for patients with </w:t>
      </w:r>
      <w:r>
        <w:rPr>
          <w:rFonts w:ascii="PMingLiU" w:cs="PMingLiU" w:eastAsia="PMingLiU" w:hAnsi="PMingLiU"/>
          <w:sz w:val="16"/>
          <w:szCs w:val="16"/>
          <w:color w:val="231F20"/>
        </w:rPr>
        <w:t xml:space="preserve">W\SHGLDEHWHVWKDWOHDGVWRHXJO\FHPLDQRUPDOEORRG VXJDUOHYHOVZLWKRXWWKHQHHGIRULQVXOLQWKHUDS\RU </w:t>
      </w:r>
      <w:r>
        <w:rPr>
          <w:rFonts w:ascii="Times New Roman" w:cs="Times New Roman" w:eastAsia="Times New Roman" w:hAnsi="Times New Roman"/>
          <w:sz w:val="16"/>
          <w:szCs w:val="16"/>
          <w:color w:val="231F20"/>
        </w:rPr>
        <w:t>immunosuppression. We are aiming for nothing less than a functional cure.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0"/>
        <w:spacing w:after="0" w:line="295" w:lineRule="auto"/>
        <w:rPr>
          <w:sz w:val="20"/>
          <w:szCs w:val="20"/>
          <w:color w:val="auto"/>
        </w:rPr>
      </w:pPr>
      <w:r>
        <w:rPr>
          <w:rFonts w:ascii="PMingLiU" w:cs="PMingLiU" w:eastAsia="PMingLiU" w:hAnsi="PMingLiU"/>
          <w:sz w:val="16"/>
          <w:szCs w:val="16"/>
          <w:color w:val="231F20"/>
        </w:rPr>
        <w:t xml:space="preserve">&amp;UHDWLQJWKLVPHGLFLQHUHTXLUHVWKHFRQÀXHQFHRI DGYDQFHVLQWUDQVSODQWLPPXQRORJ\JHQHHGLWLQJVWHP </w:t>
      </w:r>
      <w:r>
        <w:rPr>
          <w:rFonts w:ascii="Times New Roman" w:cs="Times New Roman" w:eastAsia="Times New Roman" w:hAnsi="Times New Roman"/>
          <w:sz w:val="16"/>
          <w:szCs w:val="16"/>
          <w:color w:val="231F20"/>
        </w:rPr>
        <w:t>cell biology, and manufacturing sciences. Overcoming</w:t>
      </w:r>
    </w:p>
    <w:p>
      <w:pPr>
        <w:spacing w:after="0" w:line="1" w:lineRule="exact"/>
        <w:rPr>
          <w:sz w:val="20"/>
          <w:szCs w:val="20"/>
          <w:color w:val="auto"/>
        </w:rPr>
      </w:pPr>
    </w:p>
    <w:p>
      <w:pPr>
        <w:spacing w:after="0" w:line="325" w:lineRule="auto"/>
        <w:rPr>
          <w:sz w:val="20"/>
          <w:szCs w:val="20"/>
          <w:color w:val="auto"/>
        </w:rPr>
      </w:pPr>
      <w:r>
        <w:rPr>
          <w:rFonts w:ascii="PMingLiU" w:cs="PMingLiU" w:eastAsia="PMingLiU" w:hAnsi="PMingLiU"/>
          <w:sz w:val="14"/>
          <w:szCs w:val="14"/>
          <w:color w:val="231F20"/>
        </w:rPr>
        <w:t xml:space="preserve">LPPXQHUHMHFWLRQRIWUDQVSODQWHGDOORJHQHLFFHOOVZLWKRXW </w:t>
      </w:r>
      <w:r>
        <w:rPr>
          <w:rFonts w:ascii="Times New Roman" w:cs="Times New Roman" w:eastAsia="Times New Roman" w:hAnsi="Times New Roman"/>
          <w:sz w:val="14"/>
          <w:szCs w:val="14"/>
          <w:color w:val="231F20"/>
        </w:rPr>
        <w:t xml:space="preserve">using immunosuppression has historically been the </w:t>
      </w:r>
      <w:r>
        <w:rPr>
          <w:rFonts w:ascii="PMingLiU" w:cs="PMingLiU" w:eastAsia="PMingLiU" w:hAnsi="PMingLiU"/>
          <w:sz w:val="14"/>
          <w:szCs w:val="14"/>
          <w:color w:val="231F20"/>
        </w:rPr>
        <w:t>PRVWVLJQL¿FDQWFKDOOHQJHIRUWKH¿HOG:HGHYHORSHG</w:t>
      </w:r>
    </w:p>
    <w:p>
      <w:pPr>
        <w:spacing w:after="0" w:line="1"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7"/>
          <w:szCs w:val="17"/>
          <w:color w:val="231F20"/>
        </w:rPr>
        <w:t xml:space="preserve">our hypoimmune platform, or HIP, technology for this </w:t>
      </w:r>
      <w:r>
        <w:rPr>
          <w:rFonts w:ascii="PMingLiU" w:cs="PMingLiU" w:eastAsia="PMingLiU" w:hAnsi="PMingLiU"/>
          <w:sz w:val="17"/>
          <w:szCs w:val="17"/>
          <w:color w:val="231F20"/>
        </w:rPr>
        <w:t xml:space="preserve">SXUSRVHDQGZHKDYHQRZVKRZQWKDW+,3PRGL¿HG </w:t>
      </w:r>
      <w:r>
        <w:rPr>
          <w:rFonts w:ascii="Times New Roman" w:cs="Times New Roman" w:eastAsia="Times New Roman" w:hAnsi="Times New Roman"/>
          <w:sz w:val="17"/>
          <w:szCs w:val="17"/>
          <w:color w:val="231F20"/>
        </w:rPr>
        <w:t xml:space="preserve">allogeneic pancreatic islet cells transplanted into a patient with type 1 diabetes evade immune detection, survive, </w:t>
      </w:r>
      <w:r>
        <w:rPr>
          <w:rFonts w:ascii="PMingLiU" w:cs="PMingLiU" w:eastAsia="PMingLiU" w:hAnsi="PMingLiU"/>
          <w:sz w:val="17"/>
          <w:szCs w:val="17"/>
          <w:color w:val="231F20"/>
        </w:rPr>
        <w:t xml:space="preserve">DQGIXQFWLRQIRUDWOHDVWPRQWKVSRVWWUDQVSODQW </w:t>
      </w:r>
      <w:r>
        <w:rPr>
          <w:rFonts w:ascii="Times New Roman" w:cs="Times New Roman" w:eastAsia="Times New Roman" w:hAnsi="Times New Roman"/>
          <w:sz w:val="17"/>
          <w:szCs w:val="17"/>
          <w:color w:val="231F20"/>
        </w:rPr>
        <w:t xml:space="preserve">without any immunosuppression. Data from this study were presented at multiple medical conferences and published in </w:t>
      </w:r>
      <w:r>
        <w:rPr>
          <w:rFonts w:ascii="Times New Roman" w:cs="Times New Roman" w:eastAsia="Times New Roman" w:hAnsi="Times New Roman"/>
          <w:sz w:val="17"/>
          <w:szCs w:val="17"/>
          <w:i w:val="1"/>
          <w:iCs w:val="1"/>
          <w:color w:val="231F20"/>
        </w:rPr>
        <w:t>The New England Journal of Medicine</w:t>
      </w:r>
      <w:r>
        <w:rPr>
          <w:rFonts w:ascii="Times New Roman" w:cs="Times New Roman" w:eastAsia="Times New Roman" w:hAnsi="Times New Roman"/>
          <w:sz w:val="17"/>
          <w:szCs w:val="17"/>
          <w:color w:val="231F20"/>
        </w:rPr>
        <w:t xml:space="preserve"> last fall, a meaningful validation of the potential impact of our HIP technology, particularly in developing a novel therapeutic for type 1 diabetes.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2025 was a year of progress for SC451, and we are hard</w:t>
      </w:r>
    </w:p>
    <w:p>
      <w:pPr>
        <w:spacing w:after="0" w:line="28" w:lineRule="exact"/>
        <w:rPr>
          <w:sz w:val="20"/>
          <w:szCs w:val="20"/>
          <w:color w:val="auto"/>
        </w:rPr>
      </w:pPr>
    </w:p>
    <w:p>
      <w:pPr>
        <w:ind w:right="40"/>
        <w:spacing w:after="0" w:line="292" w:lineRule="auto"/>
        <w:rPr>
          <w:sz w:val="20"/>
          <w:szCs w:val="20"/>
          <w:color w:val="auto"/>
        </w:rPr>
      </w:pPr>
      <w:r>
        <w:rPr>
          <w:rFonts w:ascii="PMingLiU" w:cs="PMingLiU" w:eastAsia="PMingLiU" w:hAnsi="PMingLiU"/>
          <w:sz w:val="16"/>
          <w:szCs w:val="16"/>
          <w:color w:val="231F20"/>
        </w:rPr>
        <w:t xml:space="preserve">DWZRUNWXUQLQJVFLHQWL¿FDGYDQFHVLQWRZKDWZHKRSH </w:t>
      </w:r>
      <w:r>
        <w:rPr>
          <w:rFonts w:ascii="Times New Roman" w:cs="Times New Roman" w:eastAsia="Times New Roman" w:hAnsi="Times New Roman"/>
          <w:sz w:val="16"/>
          <w:szCs w:val="16"/>
          <w:color w:val="231F20"/>
        </w:rPr>
        <w:t>will be a safe, effective, and scalable therapy for patients with type 1 diabetes. We are currently completing our preclinical testing package and transferring manufacturing</w:t>
      </w:r>
    </w:p>
    <w:p>
      <w:pPr>
        <w:spacing w:after="0" w:line="2" w:lineRule="exact"/>
        <w:rPr>
          <w:sz w:val="20"/>
          <w:szCs w:val="20"/>
          <w:color w:val="auto"/>
        </w:rPr>
      </w:pPr>
    </w:p>
    <w:p>
      <w:pPr>
        <w:ind w:right="40"/>
        <w:spacing w:after="0" w:line="292" w:lineRule="auto"/>
        <w:rPr>
          <w:sz w:val="20"/>
          <w:szCs w:val="20"/>
          <w:color w:val="auto"/>
        </w:rPr>
      </w:pPr>
      <w:r>
        <w:rPr>
          <w:rFonts w:ascii="PMingLiU" w:cs="PMingLiU" w:eastAsia="PMingLiU" w:hAnsi="PMingLiU"/>
          <w:sz w:val="16"/>
          <w:szCs w:val="16"/>
          <w:color w:val="231F20"/>
        </w:rPr>
        <w:t xml:space="preserve">IURPRXUODEVLQWRDFOLQLFDOWULDOJUDGHPDQXIDFWXULQJ </w:t>
      </w:r>
      <w:r>
        <w:rPr>
          <w:rFonts w:ascii="Times New Roman" w:cs="Times New Roman" w:eastAsia="Times New Roman" w:hAnsi="Times New Roman"/>
          <w:sz w:val="16"/>
          <w:szCs w:val="16"/>
          <w:color w:val="231F20"/>
        </w:rPr>
        <w:t xml:space="preserve">facility. We are eager to begin our clinical trial and believe it should provide rapid visibility to clinical proof of concept – evading immune detection and producing insulin. A successful outcome would represent a pivotal </w:t>
      </w:r>
      <w:r>
        <w:rPr>
          <w:rFonts w:ascii="PMingLiU" w:cs="PMingLiU" w:eastAsia="PMingLiU" w:hAnsi="PMingLiU"/>
          <w:sz w:val="16"/>
          <w:szCs w:val="16"/>
          <w:color w:val="231F20"/>
        </w:rPr>
        <w:t xml:space="preserve">PRPHQWIRUWKHWKHUDS\DQG¿HOG:HZRXOGWKHQQHHGWR </w:t>
      </w:r>
      <w:r>
        <w:rPr>
          <w:rFonts w:ascii="Times New Roman" w:cs="Times New Roman" w:eastAsia="Times New Roman" w:hAnsi="Times New Roman"/>
          <w:sz w:val="16"/>
          <w:szCs w:val="16"/>
          <w:color w:val="231F20"/>
        </w:rPr>
        <w:t>understand the proper dose and reproducibility of effect of SC451 across a broad population, which we believe could be accomplished over the following several quarters.</w:t>
      </w:r>
    </w:p>
    <w:p>
      <w:pPr>
        <w:spacing w:after="0" w:line="7"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0"/>
          <w:szCs w:val="20"/>
          <w:color w:val="231F20"/>
        </w:rPr>
        <w:t>If successful, our attention will then turn to our ability to scale manufacturing and move SC451 toward broad regulatory approval.</w:t>
      </w:r>
    </w:p>
    <w:p>
      <w:pPr>
        <w:spacing w:after="0" w:line="121"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6"/>
          <w:szCs w:val="16"/>
          <w:color w:val="231F20"/>
        </w:rPr>
        <w:t xml:space="preserve">We view our recently announced collaboration with Mayo </w:t>
      </w:r>
      <w:r>
        <w:rPr>
          <w:rFonts w:ascii="PMingLiU" w:cs="PMingLiU" w:eastAsia="PMingLiU" w:hAnsi="PMingLiU"/>
          <w:sz w:val="16"/>
          <w:szCs w:val="16"/>
          <w:color w:val="231F20"/>
        </w:rPr>
        <w:t xml:space="preserve">&amp;OLQLFDVDVLJQL¿FDQWYDOLGDWLRQRI6&amp;¶VSRWHQWLDO </w:t>
      </w:r>
      <w:r>
        <w:rPr>
          <w:rFonts w:ascii="Times New Roman" w:cs="Times New Roman" w:eastAsia="Times New Roman" w:hAnsi="Times New Roman"/>
          <w:sz w:val="16"/>
          <w:szCs w:val="16"/>
          <w:color w:val="231F20"/>
        </w:rPr>
        <w:t xml:space="preserve">Together, we aim to develop systems and processes that enable consistent and safe delivery in various clinical settings for this potentially transformative therapy. Overall, SC451 continues to make strong progress, and </w:t>
      </w:r>
      <w:r>
        <w:rPr>
          <w:rFonts w:ascii="PMingLiU" w:cs="PMingLiU" w:eastAsia="PMingLiU" w:hAnsi="PMingLiU"/>
          <w:sz w:val="16"/>
          <w:szCs w:val="16"/>
          <w:color w:val="231F20"/>
        </w:rPr>
        <w:t xml:space="preserve">ZHOLNH\RXORRNIRUZDUGWRVHHLQJKRZWKHVFLHQWL¿F </w:t>
      </w:r>
      <w:r>
        <w:rPr>
          <w:rFonts w:ascii="Times New Roman" w:cs="Times New Roman" w:eastAsia="Times New Roman" w:hAnsi="Times New Roman"/>
          <w:sz w:val="16"/>
          <w:szCs w:val="16"/>
          <w:color w:val="231F20"/>
        </w:rPr>
        <w:t>validation we have generated to date translates into making SC451 a meaningful and valuable therapy.</w:t>
      </w:r>
    </w:p>
    <w:p>
      <w:pPr>
        <w:spacing w:after="0" w:line="7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231F20"/>
        </w:rPr>
        <w:t xml:space="preserve">I now want to spend a bit of time outlining our thoughts on the opportunity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cells, an area we have discussed less frequently outside the company for the past few years. Over the past decade, autologous CAR T cell therapy has transformed the treatment and outcomes for many patients with certain lymphomas, leukemias, and multiple myeloma. The opportunity for</w:t>
      </w:r>
    </w:p>
    <w:p>
      <w:pPr>
        <w:spacing w:after="0" w:line="1" w:lineRule="exact"/>
        <w:rPr>
          <w:sz w:val="20"/>
          <w:szCs w:val="20"/>
          <w:color w:val="auto"/>
        </w:rPr>
      </w:pPr>
    </w:p>
    <w:p>
      <w:pPr>
        <w:ind w:right="80"/>
        <w:spacing w:after="0" w:line="331" w:lineRule="auto"/>
        <w:rPr>
          <w:sz w:val="20"/>
          <w:szCs w:val="20"/>
          <w:color w:val="auto"/>
        </w:rPr>
      </w:pPr>
      <w:r>
        <w:rPr>
          <w:rFonts w:ascii="PMingLiU" w:cs="PMingLiU" w:eastAsia="PMingLiU" w:hAnsi="PMingLiU"/>
          <w:sz w:val="14"/>
          <w:szCs w:val="14"/>
          <w:color w:val="231F20"/>
        </w:rPr>
        <w:t xml:space="preserve">DSRWHQWLDOO\FXUDWLYHRQHWLPHWUHDWPHQWIRUHYHQWKRVH </w:t>
      </w:r>
      <w:r>
        <w:rPr>
          <w:rFonts w:ascii="Times New Roman" w:cs="Times New Roman" w:eastAsia="Times New Roman" w:hAnsi="Times New Roman"/>
          <w:sz w:val="14"/>
          <w:szCs w:val="14"/>
          <w:color w:val="231F20"/>
        </w:rPr>
        <w:t>patients with cancers refractory to multiple lines of treatment has changed the possible for people with these</w:t>
      </w:r>
    </w:p>
    <w:p>
      <w:pPr>
        <w:spacing w:after="0" w:line="2" w:lineRule="exact"/>
        <w:rPr>
          <w:sz w:val="20"/>
          <w:szCs w:val="20"/>
          <w:color w:val="auto"/>
        </w:rPr>
      </w:pPr>
    </w:p>
    <w:p>
      <w:pPr>
        <w:spacing w:after="0"/>
        <w:rPr>
          <w:sz w:val="20"/>
          <w:szCs w:val="20"/>
          <w:color w:val="auto"/>
        </w:rPr>
      </w:pPr>
      <w:r>
        <w:rPr>
          <w:rFonts w:ascii="PMingLiU" w:cs="PMingLiU" w:eastAsia="PMingLiU" w:hAnsi="PMingLiU"/>
          <w:sz w:val="16"/>
          <w:szCs w:val="16"/>
          <w:color w:val="231F20"/>
        </w:rPr>
        <w:t>GLVHDVHVDQGWKRXVDQGVRISHRSOHDUHDOLYHDQGFDQFHU</w:t>
      </w:r>
    </w:p>
    <w:p>
      <w:pPr>
        <w:sectPr>
          <w:pgSz w:w="11880" w:h="15480" w:orient="portrait"/>
          <w:cols w:equalWidth="0" w:num="2">
            <w:col w:w="4820" w:space="320"/>
            <w:col w:w="4820"/>
          </w:cols>
          <w:pgMar w:left="780" w:top="850" w:right="1140" w:bottom="449" w:gutter="0" w:footer="0" w:header="0"/>
        </w:sectPr>
      </w:pPr>
    </w:p>
    <w:bookmarkStart w:id="2" w:name="page3"/>
    <w:bookmarkEnd w:id="2"/>
    <w:p>
      <w:pPr>
        <w:spacing w:after="0" w:line="136" w:lineRule="exact"/>
        <w:rPr>
          <w:sz w:val="20"/>
          <w:szCs w:val="20"/>
          <w:color w:val="auto"/>
        </w:rPr>
      </w:pPr>
    </w:p>
    <w:p>
      <w:pPr>
        <w:ind w:left="6" w:right="280"/>
        <w:spacing w:after="0" w:line="309" w:lineRule="auto"/>
        <w:rPr>
          <w:sz w:val="20"/>
          <w:szCs w:val="20"/>
          <w:color w:val="auto"/>
        </w:rPr>
      </w:pPr>
      <w:r>
        <w:rPr>
          <w:rFonts w:ascii="Times New Roman" w:cs="Times New Roman" w:eastAsia="Times New Roman" w:hAnsi="Times New Roman"/>
          <w:sz w:val="16"/>
          <w:szCs w:val="16"/>
          <w:color w:val="231F20"/>
        </w:rPr>
        <w:t xml:space="preserve">free today as a result. There is emerging evidence that </w:t>
      </w:r>
      <w:r>
        <w:rPr>
          <w:rFonts w:ascii="PMingLiU" w:cs="PMingLiU" w:eastAsia="PMingLiU" w:hAnsi="PMingLiU"/>
          <w:sz w:val="16"/>
          <w:szCs w:val="16"/>
          <w:color w:val="231F20"/>
        </w:rPr>
        <w:t>WKHVHVDPHRUVLPLODUWKHUDSLHVPD\R HUDVLPLODUO\</w:t>
      </w:r>
    </w:p>
    <w:p>
      <w:pPr>
        <w:spacing w:after="0" w:line="1" w:lineRule="exact"/>
        <w:rPr>
          <w:sz w:val="20"/>
          <w:szCs w:val="20"/>
          <w:color w:val="auto"/>
        </w:rPr>
      </w:pPr>
    </w:p>
    <w:p>
      <w:pPr>
        <w:ind w:left="6" w:right="80"/>
        <w:spacing w:after="0" w:line="236" w:lineRule="auto"/>
        <w:rPr>
          <w:sz w:val="20"/>
          <w:szCs w:val="20"/>
          <w:color w:val="auto"/>
        </w:rPr>
      </w:pPr>
      <w:r>
        <w:rPr>
          <w:rFonts w:ascii="PMingLiU" w:cs="PMingLiU" w:eastAsia="PMingLiU" w:hAnsi="PMingLiU"/>
          <w:sz w:val="20"/>
          <w:szCs w:val="20"/>
          <w:color w:val="231F20"/>
        </w:rPr>
        <w:t xml:space="preserve">WUDQVIRUPDWLRQDOLPSDFWIRUSHRSOHVX HULQJIURPD </w:t>
      </w:r>
      <w:r>
        <w:rPr>
          <w:rFonts w:ascii="Times New Roman" w:cs="Times New Roman" w:eastAsia="Times New Roman" w:hAnsi="Times New Roman"/>
          <w:sz w:val="20"/>
          <w:szCs w:val="20"/>
          <w:color w:val="231F20"/>
        </w:rPr>
        <w:t>range of autoimmune diseases, including such highly prevalent diseases as lupus, myasthenia gravis, and multiple sclerosis, as well as less common diseases such as dermatomyositis and scleroderma.</w:t>
      </w:r>
    </w:p>
    <w:p>
      <w:pPr>
        <w:spacing w:after="0" w:line="128" w:lineRule="exact"/>
        <w:rPr>
          <w:sz w:val="20"/>
          <w:szCs w:val="20"/>
          <w:color w:val="auto"/>
        </w:rPr>
      </w:pPr>
    </w:p>
    <w:p>
      <w:pPr>
        <w:ind w:left="6" w:right="260"/>
        <w:spacing w:after="0" w:line="254" w:lineRule="auto"/>
        <w:rPr>
          <w:sz w:val="20"/>
          <w:szCs w:val="20"/>
          <w:color w:val="auto"/>
        </w:rPr>
      </w:pPr>
      <w:r>
        <w:rPr>
          <w:rFonts w:ascii="Times New Roman" w:cs="Times New Roman" w:eastAsia="Times New Roman" w:hAnsi="Times New Roman"/>
          <w:sz w:val="20"/>
          <w:szCs w:val="20"/>
          <w:color w:val="231F20"/>
        </w:rPr>
        <w:t>However, complexities in supply chain, manufacturing, reimbursement, and patient management, particularly</w:t>
      </w:r>
    </w:p>
    <w:p>
      <w:pPr>
        <w:spacing w:after="0" w:line="1" w:lineRule="exact"/>
        <w:rPr>
          <w:sz w:val="20"/>
          <w:szCs w:val="20"/>
          <w:color w:val="auto"/>
        </w:rPr>
      </w:pPr>
    </w:p>
    <w:p>
      <w:pPr>
        <w:ind w:left="6" w:right="240"/>
        <w:spacing w:after="0" w:line="290" w:lineRule="auto"/>
        <w:rPr>
          <w:sz w:val="20"/>
          <w:szCs w:val="20"/>
          <w:color w:val="auto"/>
        </w:rPr>
      </w:pPr>
      <w:r>
        <w:rPr>
          <w:rFonts w:ascii="PMingLiU" w:cs="PMingLiU" w:eastAsia="PMingLiU" w:hAnsi="PMingLiU"/>
          <w:sz w:val="16"/>
          <w:szCs w:val="16"/>
          <w:color w:val="231F20"/>
        </w:rPr>
        <w:t xml:space="preserve">UHODWHGWRVLGHH HFWVDQGFKHPRWKHUDS\GHOLYHUHG </w:t>
      </w:r>
      <w:r>
        <w:rPr>
          <w:rFonts w:ascii="Times New Roman" w:cs="Times New Roman" w:eastAsia="Times New Roman" w:hAnsi="Times New Roman"/>
          <w:sz w:val="16"/>
          <w:szCs w:val="16"/>
          <w:color w:val="231F20"/>
        </w:rPr>
        <w:t xml:space="preserve">around the time of drug dosing, have limited the impact of autologous CAR T therapies. Several years ago, we embarked on a two-pronged strategy to address these </w:t>
      </w:r>
      <w:r>
        <w:rPr>
          <w:rFonts w:ascii="PMingLiU" w:cs="PMingLiU" w:eastAsia="PMingLiU" w:hAnsi="PMingLiU"/>
          <w:sz w:val="16"/>
          <w:szCs w:val="16"/>
          <w:color w:val="231F20"/>
        </w:rPr>
        <w:t>LVVXHVZKLOHPDLQWDLQLQJRUHYHQLPSURYLQJH FDF\</w:t>
      </w:r>
    </w:p>
    <w:p>
      <w:pPr>
        <w:spacing w:after="0" w:line="3" w:lineRule="exact"/>
        <w:rPr>
          <w:sz w:val="20"/>
          <w:szCs w:val="20"/>
          <w:color w:val="auto"/>
        </w:rPr>
      </w:pPr>
    </w:p>
    <w:p>
      <w:pPr>
        <w:ind w:left="6" w:right="400" w:hanging="6"/>
        <w:spacing w:after="0"/>
        <w:tabs>
          <w:tab w:leader="none" w:pos="297" w:val="left"/>
        </w:tabs>
        <w:numPr>
          <w:ilvl w:val="0"/>
          <w:numId w:val="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allogeneic CAR T cells engineered with our HIP technology to overcome immune rejection and (2) </w:t>
      </w:r>
      <w:r>
        <w:rPr>
          <w:rFonts w:ascii="Times New Roman" w:cs="Times New Roman" w:eastAsia="Times New Roman" w:hAnsi="Times New Roman"/>
          <w:sz w:val="20"/>
          <w:szCs w:val="20"/>
          <w:i w:val="1"/>
          <w:iCs w:val="1"/>
          <w:color w:val="231F20"/>
        </w:rPr>
        <w:t>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vivo </w:t>
      </w:r>
      <w:r>
        <w:rPr>
          <w:rFonts w:ascii="Times New Roman" w:cs="Times New Roman" w:eastAsia="Times New Roman" w:hAnsi="Times New Roman"/>
          <w:sz w:val="20"/>
          <w:szCs w:val="20"/>
          <w:color w:val="231F20"/>
        </w:rPr>
        <w:t>CAR T cells. As our programs have advanced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and evolved, we have come to believe that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platform is likely to be a superior and highly-</w:t>
      </w:r>
    </w:p>
    <w:p>
      <w:pPr>
        <w:ind w:left="6" w:right="20"/>
        <w:spacing w:after="0" w:line="307" w:lineRule="auto"/>
        <w:rPr>
          <w:rFonts w:ascii="Times New Roman" w:cs="Times New Roman" w:eastAsia="Times New Roman" w:hAnsi="Times New Roman"/>
          <w:sz w:val="20"/>
          <w:szCs w:val="20"/>
          <w:color w:val="231F20"/>
        </w:rPr>
      </w:pPr>
      <w:r>
        <w:rPr>
          <w:rFonts w:ascii="PMingLiU" w:cs="PMingLiU" w:eastAsia="PMingLiU" w:hAnsi="PMingLiU"/>
          <w:sz w:val="16"/>
          <w:szCs w:val="16"/>
          <w:color w:val="231F20"/>
        </w:rPr>
        <w:t xml:space="preserve">WUDQVIRUPDWLYHDSSURDFK±PDLQWDLQLQJWKHEHQH¿WRI </w:t>
      </w:r>
      <w:r>
        <w:rPr>
          <w:rFonts w:ascii="Times New Roman" w:cs="Times New Roman" w:eastAsia="Times New Roman" w:hAnsi="Times New Roman"/>
          <w:sz w:val="16"/>
          <w:szCs w:val="16"/>
          <w:color w:val="231F20"/>
        </w:rPr>
        <w:t>autologous CAR T cells while simplifying manufacturing and eliminating the need for chemotherapy. Our strategy has come into focus, and as a result in 2025 we stopped investment in our allogeneic CAR T platform and directed our balance sheet and people at our promising</w:t>
      </w:r>
    </w:p>
    <w:p>
      <w:pPr>
        <w:spacing w:after="0" w:line="179" w:lineRule="exact"/>
        <w:rPr>
          <w:rFonts w:ascii="Times New Roman" w:cs="Times New Roman" w:eastAsia="Times New Roman" w:hAnsi="Times New Roman"/>
          <w:sz w:val="20"/>
          <w:szCs w:val="20"/>
          <w:color w:val="231F20"/>
        </w:rPr>
      </w:pPr>
    </w:p>
    <w:p>
      <w:pPr>
        <w:ind w:left="6"/>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in vivo </w:t>
      </w:r>
      <w:r>
        <w:rPr>
          <w:rFonts w:ascii="Times New Roman" w:cs="Times New Roman" w:eastAsia="Times New Roman" w:hAnsi="Times New Roman"/>
          <w:sz w:val="20"/>
          <w:szCs w:val="20"/>
          <w:color w:val="231F20"/>
        </w:rPr>
        <w:t>CAR T platform.</w:t>
      </w:r>
    </w:p>
    <w:p>
      <w:pPr>
        <w:spacing w:after="0" w:line="132" w:lineRule="exact"/>
        <w:rPr>
          <w:sz w:val="20"/>
          <w:szCs w:val="20"/>
          <w:color w:val="auto"/>
        </w:rPr>
      </w:pPr>
    </w:p>
    <w:p>
      <w:pPr>
        <w:ind w:left="6" w:right="40"/>
        <w:spacing w:after="0" w:line="251" w:lineRule="auto"/>
        <w:rPr>
          <w:sz w:val="20"/>
          <w:szCs w:val="20"/>
          <w:color w:val="auto"/>
        </w:rPr>
      </w:pPr>
      <w:r>
        <w:rPr>
          <w:rFonts w:ascii="Times New Roman" w:cs="Times New Roman" w:eastAsia="Times New Roman" w:hAnsi="Times New Roman"/>
          <w:sz w:val="19"/>
          <w:szCs w:val="19"/>
          <w:color w:val="231F20"/>
        </w:rPr>
        <w:t xml:space="preserve">The concept of an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CAR T cell is to give an intravenous dose of a medicine that delivers DNA or messenger RNA (mRNA) to a patient’s T cells. This DNA or mRNA will transform the T cell into a CAR T cell. </w:t>
      </w:r>
      <w:r>
        <w:rPr>
          <w:rFonts w:ascii="PMingLiU" w:cs="PMingLiU" w:eastAsia="PMingLiU" w:hAnsi="PMingLiU"/>
          <w:sz w:val="19"/>
          <w:szCs w:val="19"/>
          <w:color w:val="231F20"/>
        </w:rPr>
        <w:t xml:space="preserve">:KHQD&amp; $57FHOO¿QGVDQGELQGVWRDWDUJHWFHOOLW </w:t>
      </w:r>
      <w:r>
        <w:rPr>
          <w:rFonts w:ascii="Times New Roman" w:cs="Times New Roman" w:eastAsia="Times New Roman" w:hAnsi="Times New Roman"/>
          <w:sz w:val="19"/>
          <w:szCs w:val="19"/>
          <w:color w:val="231F20"/>
        </w:rPr>
        <w:t>activates, which leads to (1) killing of the target cells and</w:t>
      </w:r>
    </w:p>
    <w:p>
      <w:pPr>
        <w:spacing w:after="0" w:line="1" w:lineRule="exact"/>
        <w:rPr>
          <w:sz w:val="20"/>
          <w:szCs w:val="20"/>
          <w:color w:val="auto"/>
        </w:rPr>
      </w:pPr>
    </w:p>
    <w:p>
      <w:pPr>
        <w:ind w:left="6" w:right="120" w:hanging="6"/>
        <w:spacing w:after="0" w:line="248" w:lineRule="auto"/>
        <w:tabs>
          <w:tab w:leader="none" w:pos="297" w:val="left"/>
        </w:tabs>
        <w:numPr>
          <w:ilvl w:val="0"/>
          <w:numId w:val="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division of the CAR T cell. Each progeny CAR T cell will carry the DNA of the parent CAR T cell.</w:t>
      </w:r>
    </w:p>
    <w:p>
      <w:pPr>
        <w:spacing w:after="0" w:line="117" w:lineRule="exact"/>
        <w:rPr>
          <w:sz w:val="20"/>
          <w:szCs w:val="20"/>
          <w:color w:val="auto"/>
        </w:rPr>
      </w:pPr>
    </w:p>
    <w:p>
      <w:pPr>
        <w:ind w:left="6" w:right="60"/>
        <w:spacing w:after="0" w:line="353" w:lineRule="auto"/>
        <w:rPr>
          <w:sz w:val="20"/>
          <w:szCs w:val="20"/>
          <w:color w:val="auto"/>
        </w:rPr>
      </w:pPr>
      <w:r>
        <w:rPr>
          <w:rFonts w:ascii="Times New Roman" w:cs="Times New Roman" w:eastAsia="Times New Roman" w:hAnsi="Times New Roman"/>
          <w:sz w:val="14"/>
          <w:szCs w:val="14"/>
          <w:color w:val="231F20"/>
        </w:rPr>
        <w:t xml:space="preserve">We made two critical assumptions and choices in </w:t>
      </w:r>
      <w:r>
        <w:rPr>
          <w:rFonts w:ascii="PMingLiU" w:cs="PMingLiU" w:eastAsia="PMingLiU" w:hAnsi="PMingLiU"/>
          <w:sz w:val="14"/>
          <w:szCs w:val="14"/>
          <w:color w:val="231F20"/>
        </w:rPr>
        <w:t>GHYHORSLQJWKLVSODWIRUPWKDWGL HUHQWLDWHXVIURPRWKHUV</w:t>
      </w:r>
    </w:p>
    <w:p>
      <w:pPr>
        <w:spacing w:after="0" w:line="1" w:lineRule="exact"/>
        <w:rPr>
          <w:sz w:val="20"/>
          <w:szCs w:val="20"/>
          <w:color w:val="auto"/>
        </w:rPr>
      </w:pPr>
    </w:p>
    <w:p>
      <w:pPr>
        <w:ind w:left="6" w:right="460"/>
        <w:spacing w:after="0" w:line="304" w:lineRule="auto"/>
        <w:rPr>
          <w:sz w:val="20"/>
          <w:szCs w:val="20"/>
          <w:color w:val="auto"/>
        </w:rPr>
      </w:pPr>
      <w:r>
        <w:rPr>
          <w:rFonts w:ascii="PMingLiU" w:cs="PMingLiU" w:eastAsia="PMingLiU" w:hAnsi="PMingLiU"/>
          <w:sz w:val="15"/>
          <w:szCs w:val="15"/>
          <w:color w:val="231F20"/>
        </w:rPr>
        <w:t xml:space="preserve">)LUVWZHEHOLHYHWKDWFHOOVSHFL¿FGHOLYHU\PDWWHUV± </w:t>
      </w:r>
      <w:r>
        <w:rPr>
          <w:rFonts w:ascii="Times New Roman" w:cs="Times New Roman" w:eastAsia="Times New Roman" w:hAnsi="Times New Roman"/>
          <w:sz w:val="15"/>
          <w:szCs w:val="15"/>
          <w:color w:val="231F20"/>
        </w:rPr>
        <w:t>meaning delivery of the material only to T cells. Cell</w:t>
      </w:r>
    </w:p>
    <w:p>
      <w:pPr>
        <w:spacing w:after="0" w:line="1" w:lineRule="exact"/>
        <w:rPr>
          <w:sz w:val="20"/>
          <w:szCs w:val="20"/>
          <w:color w:val="auto"/>
        </w:rPr>
      </w:pPr>
    </w:p>
    <w:p>
      <w:pPr>
        <w:ind w:left="6" w:right="60"/>
        <w:spacing w:after="0" w:line="386" w:lineRule="auto"/>
        <w:rPr>
          <w:sz w:val="20"/>
          <w:szCs w:val="20"/>
          <w:color w:val="auto"/>
        </w:rPr>
      </w:pPr>
      <w:r>
        <w:rPr>
          <w:rFonts w:ascii="PMingLiU" w:cs="PMingLiU" w:eastAsia="PMingLiU" w:hAnsi="PMingLiU"/>
          <w:sz w:val="15"/>
          <w:szCs w:val="15"/>
          <w:color w:val="231F20"/>
        </w:rPr>
        <w:t xml:space="preserve">VSHFL¿FGHOLYHU\ORZHUVDWKHULVNRIDGYHUVHUHDFWLRQV </w:t>
      </w:r>
      <w:r>
        <w:rPr>
          <w:rFonts w:ascii="Times New Roman" w:cs="Times New Roman" w:eastAsia="Times New Roman" w:hAnsi="Times New Roman"/>
          <w:sz w:val="15"/>
          <w:szCs w:val="15"/>
          <w:color w:val="231F20"/>
        </w:rPr>
        <w:t>that can result from delivery of the material to the wrong cells, (b) the risk of an immune response against the CAR protein on the surface of the CAR T cells (which limits activity), and (c) the dose needed to reach a therapeutic level (thereby lowering manufacturing costs). Second, we believe that it is important to integrate the CAR signal into the T cell’s DNA, as CAR DNA will then replicate into each progeny cell upon division, creating more CAR T cells to battle the cancer. Many scientists believe that the expansion, or division, of CAR T cells is an important</w:t>
      </w:r>
    </w:p>
    <w:p>
      <w:pPr>
        <w:spacing w:after="0" w:line="5" w:lineRule="exact"/>
        <w:rPr>
          <w:sz w:val="20"/>
          <w:szCs w:val="20"/>
          <w:color w:val="auto"/>
        </w:rPr>
      </w:pPr>
    </w:p>
    <w:p>
      <w:pPr>
        <w:ind w:left="6"/>
        <w:spacing w:after="0" w:line="295" w:lineRule="auto"/>
        <w:rPr>
          <w:sz w:val="20"/>
          <w:szCs w:val="20"/>
          <w:color w:val="auto"/>
        </w:rPr>
      </w:pPr>
      <w:r>
        <w:rPr>
          <w:rFonts w:ascii="PMingLiU" w:cs="PMingLiU" w:eastAsia="PMingLiU" w:hAnsi="PMingLiU"/>
          <w:sz w:val="17"/>
          <w:szCs w:val="17"/>
          <w:color w:val="231F20"/>
        </w:rPr>
        <w:t xml:space="preserve">FRPSRQHQWRIWKHLUWUDQVIRUPDWLYHH FDF\VLQFHWKHUH </w:t>
      </w:r>
      <w:r>
        <w:rPr>
          <w:rFonts w:ascii="Times New Roman" w:cs="Times New Roman" w:eastAsia="Times New Roman" w:hAnsi="Times New Roman"/>
          <w:sz w:val="17"/>
          <w:szCs w:val="17"/>
          <w:color w:val="231F20"/>
        </w:rPr>
        <w:t>are typically multi-logarithmically more target cells (for example cancer cells) than CAR T cells initially delivered.</w:t>
      </w:r>
    </w:p>
    <w:p>
      <w:pPr>
        <w:spacing w:after="0" w:line="77" w:lineRule="exact"/>
        <w:rPr>
          <w:sz w:val="20"/>
          <w:szCs w:val="20"/>
          <w:color w:val="auto"/>
        </w:rPr>
      </w:pPr>
    </w:p>
    <w:p>
      <w:pPr>
        <w:ind w:left="6" w:right="120"/>
        <w:spacing w:after="0" w:line="416" w:lineRule="auto"/>
        <w:rPr>
          <w:sz w:val="20"/>
          <w:szCs w:val="20"/>
          <w:color w:val="auto"/>
        </w:rPr>
      </w:pPr>
      <w:r>
        <w:rPr>
          <w:rFonts w:ascii="PMingLiU" w:cs="PMingLiU" w:eastAsia="PMingLiU" w:hAnsi="PMingLiU"/>
          <w:sz w:val="15"/>
          <w:szCs w:val="15"/>
          <w:color w:val="231F20"/>
        </w:rPr>
        <w:t xml:space="preserve">7REHFOHDURWKHUVKDYHGL HUHQWYLHZV±JHWWLQJHQRXJK </w:t>
      </w:r>
      <w:r>
        <w:rPr>
          <w:rFonts w:ascii="Times New Roman" w:cs="Times New Roman" w:eastAsia="Times New Roman" w:hAnsi="Times New Roman"/>
          <w:sz w:val="15"/>
          <w:szCs w:val="15"/>
          <w:color w:val="231F20"/>
        </w:rPr>
        <w:t>material to the target cells is more important than cell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6"/>
        <w:spacing w:after="0" w:line="301" w:lineRule="auto"/>
        <w:rPr>
          <w:sz w:val="20"/>
          <w:szCs w:val="20"/>
          <w:color w:val="auto"/>
        </w:rPr>
      </w:pPr>
      <w:r>
        <w:rPr>
          <w:rFonts w:ascii="PMingLiU" w:cs="PMingLiU" w:eastAsia="PMingLiU" w:hAnsi="PMingLiU"/>
          <w:sz w:val="16"/>
          <w:szCs w:val="16"/>
          <w:color w:val="231F20"/>
        </w:rPr>
        <w:t xml:space="preserve">VSHFL¿FLW\DQGLQWHJUDWLRQLQWR7FHOO'1$LVXQQHFHVVDU\ </w:t>
      </w:r>
      <w:r>
        <w:rPr>
          <w:rFonts w:ascii="Times New Roman" w:cs="Times New Roman" w:eastAsia="Times New Roman" w:hAnsi="Times New Roman"/>
          <w:sz w:val="16"/>
          <w:szCs w:val="16"/>
          <w:color w:val="231F20"/>
        </w:rPr>
        <w:t>and may even have potential risks associated with it. It is possible that we are wrong, and if so, others may move ahead of us and could have platforms that are simpler to manufacture and/or deliver. It is possible that we and</w:t>
      </w:r>
    </w:p>
    <w:p>
      <w:pPr>
        <w:spacing w:after="0" w:line="1" w:lineRule="exact"/>
        <w:rPr>
          <w:sz w:val="20"/>
          <w:szCs w:val="20"/>
          <w:color w:val="auto"/>
        </w:rPr>
      </w:pPr>
    </w:p>
    <w:p>
      <w:pPr>
        <w:ind w:left="6" w:right="40"/>
        <w:spacing w:after="0" w:line="408" w:lineRule="auto"/>
        <w:rPr>
          <w:sz w:val="20"/>
          <w:szCs w:val="20"/>
          <w:color w:val="auto"/>
        </w:rPr>
      </w:pPr>
      <w:r>
        <w:rPr>
          <w:rFonts w:ascii="PMingLiU" w:cs="PMingLiU" w:eastAsia="PMingLiU" w:hAnsi="PMingLiU"/>
          <w:sz w:val="14"/>
          <w:szCs w:val="14"/>
          <w:color w:val="231F20"/>
        </w:rPr>
        <w:t xml:space="preserve">RWKHUVDUHERWKFRUUHFWDQGWKDWGL HUHQWFOLQLFDOVHWWLQJV </w:t>
      </w:r>
      <w:r>
        <w:rPr>
          <w:rFonts w:ascii="Times New Roman" w:cs="Times New Roman" w:eastAsia="Times New Roman" w:hAnsi="Times New Roman"/>
          <w:sz w:val="14"/>
          <w:szCs w:val="14"/>
          <w:color w:val="231F20"/>
        </w:rPr>
        <w:t xml:space="preserve">will be more amenable to one platform or the other. In order to maximize the potential of our </w:t>
      </w:r>
      <w:r>
        <w:rPr>
          <w:rFonts w:ascii="Times New Roman" w:cs="Times New Roman" w:eastAsia="Times New Roman" w:hAnsi="Times New Roman"/>
          <w:sz w:val="14"/>
          <w:szCs w:val="14"/>
          <w:i w:val="1"/>
          <w:iCs w:val="1"/>
          <w:color w:val="231F20"/>
        </w:rPr>
        <w:t>in vivo</w:t>
      </w:r>
      <w:r>
        <w:rPr>
          <w:rFonts w:ascii="Times New Roman" w:cs="Times New Roman" w:eastAsia="Times New Roman" w:hAnsi="Times New Roman"/>
          <w:sz w:val="14"/>
          <w:szCs w:val="14"/>
          <w:color w:val="231F20"/>
        </w:rPr>
        <w:t xml:space="preserve"> platform in this situation, we will need a development program that </w:t>
      </w:r>
      <w:r>
        <w:rPr>
          <w:rFonts w:ascii="PMingLiU" w:cs="PMingLiU" w:eastAsia="PMingLiU" w:hAnsi="PMingLiU"/>
          <w:sz w:val="14"/>
          <w:szCs w:val="14"/>
          <w:color w:val="231F20"/>
        </w:rPr>
        <w:t xml:space="preserve">DOORZVXVWR¿QGWKHVHWWLQJVZKHUHRXUVROXWLRQLVEHVW,W </w:t>
      </w:r>
      <w:r>
        <w:rPr>
          <w:rFonts w:ascii="Times New Roman" w:cs="Times New Roman" w:eastAsia="Times New Roman" w:hAnsi="Times New Roman"/>
          <w:sz w:val="14"/>
          <w:szCs w:val="14"/>
          <w:color w:val="231F20"/>
        </w:rPr>
        <w:t>is also possible that we are entirely right, meaning we will have a best-in-class platform with the potential to develop multiple highly valuable therapeutics.</w:t>
      </w:r>
    </w:p>
    <w:p>
      <w:pPr>
        <w:spacing w:after="0" w:line="13" w:lineRule="exact"/>
        <w:rPr>
          <w:sz w:val="20"/>
          <w:szCs w:val="20"/>
          <w:color w:val="auto"/>
        </w:rPr>
      </w:pPr>
    </w:p>
    <w:p>
      <w:pPr>
        <w:ind w:left="6" w:right="40"/>
        <w:spacing w:after="0" w:line="251" w:lineRule="auto"/>
        <w:rPr>
          <w:sz w:val="20"/>
          <w:szCs w:val="20"/>
          <w:color w:val="auto"/>
        </w:rPr>
      </w:pPr>
      <w:r>
        <w:rPr>
          <w:rFonts w:ascii="Times New Roman" w:cs="Times New Roman" w:eastAsia="Times New Roman" w:hAnsi="Times New Roman"/>
          <w:sz w:val="19"/>
          <w:szCs w:val="19"/>
          <w:color w:val="231F20"/>
        </w:rPr>
        <w:t xml:space="preserve">We will learn a lot about our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CAR T platform over the next twelve months. By this time next year, our goal is to have clarity on the dose and an early understanding of </w:t>
      </w:r>
      <w:r>
        <w:rPr>
          <w:rFonts w:ascii="PMingLiU" w:cs="PMingLiU" w:eastAsia="PMingLiU" w:hAnsi="PMingLiU"/>
          <w:sz w:val="19"/>
          <w:szCs w:val="19"/>
          <w:color w:val="231F20"/>
        </w:rPr>
        <w:t>WKHVDIHW\DQGH FDF\SUR¿OHRIRXUOHDG</w:t>
      </w:r>
      <w:r>
        <w:rPr>
          <w:rFonts w:ascii="Times New Roman" w:cs="Times New Roman" w:eastAsia="Times New Roman" w:hAnsi="Times New Roman"/>
          <w:sz w:val="19"/>
          <w:szCs w:val="19"/>
          <w:i w:val="1"/>
          <w:iCs w:val="1"/>
          <w:color w:val="231F20"/>
        </w:rPr>
        <w:t>in vivo</w:t>
      </w:r>
      <w:r>
        <w:rPr>
          <w:rFonts w:ascii="PMingLiU" w:cs="PMingLiU" w:eastAsia="PMingLiU" w:hAnsi="PMingLiU"/>
          <w:sz w:val="19"/>
          <w:szCs w:val="19"/>
          <w:color w:val="231F20"/>
        </w:rPr>
        <w:t xml:space="preserve"> </w:t>
      </w:r>
      <w:r>
        <w:rPr>
          <w:rFonts w:ascii="Times New Roman" w:cs="Times New Roman" w:eastAsia="Times New Roman" w:hAnsi="Times New Roman"/>
          <w:sz w:val="19"/>
          <w:szCs w:val="19"/>
          <w:color w:val="231F20"/>
        </w:rPr>
        <w:t>CAR T</w:t>
      </w:r>
      <w:r>
        <w:rPr>
          <w:rFonts w:ascii="PMingLiU" w:cs="PMingLiU" w:eastAsia="PMingLiU" w:hAnsi="PMingLiU"/>
          <w:sz w:val="19"/>
          <w:szCs w:val="19"/>
          <w:color w:val="231F20"/>
        </w:rPr>
        <w:t xml:space="preserve"> </w:t>
      </w:r>
      <w:r>
        <w:rPr>
          <w:rFonts w:ascii="Times New Roman" w:cs="Times New Roman" w:eastAsia="Times New Roman" w:hAnsi="Times New Roman"/>
          <w:sz w:val="19"/>
          <w:szCs w:val="19"/>
          <w:color w:val="231F20"/>
        </w:rPr>
        <w:t xml:space="preserve">cell therapeutic candidate – SG293, which makes CD19-targeted CAR T cells – in patients with non-Hodgkin lymphoma, or NHL. If successful, we believe that we have a streamlined path to at least three value-creating </w:t>
      </w:r>
      <w:r>
        <w:rPr>
          <w:rFonts w:ascii="PMingLiU" w:cs="PMingLiU" w:eastAsia="PMingLiU" w:hAnsi="PMingLiU"/>
          <w:sz w:val="19"/>
          <w:szCs w:val="19"/>
          <w:color w:val="231F20"/>
        </w:rPr>
        <w:t>RSSRUWXQLWLHVGHYHORSLQJ6*LQEORRGFDQFHUV</w:t>
      </w:r>
    </w:p>
    <w:p>
      <w:pPr>
        <w:spacing w:after="0" w:line="2" w:lineRule="exact"/>
        <w:rPr>
          <w:sz w:val="20"/>
          <w:szCs w:val="20"/>
          <w:color w:val="auto"/>
        </w:rPr>
      </w:pPr>
    </w:p>
    <w:p>
      <w:pPr>
        <w:ind w:left="286" w:hanging="286"/>
        <w:spacing w:after="0"/>
        <w:tabs>
          <w:tab w:leader="none" w:pos="286"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developing SG293 in B-cell mediated autoimmune</w:t>
      </w:r>
    </w:p>
    <w:p>
      <w:pPr>
        <w:ind w:left="6"/>
        <w:spacing w:after="0" w:line="274" w:lineRule="auto"/>
        <w:rPr>
          <w:rFonts w:ascii="Times New Roman" w:cs="Times New Roman" w:eastAsia="Times New Roman" w:hAnsi="Times New Roman"/>
          <w:sz w:val="20"/>
          <w:szCs w:val="20"/>
          <w:color w:val="231F20"/>
        </w:rPr>
      </w:pPr>
      <w:r>
        <w:rPr>
          <w:rFonts w:ascii="PMingLiU" w:cs="PMingLiU" w:eastAsia="PMingLiU" w:hAnsi="PMingLiU"/>
          <w:sz w:val="17"/>
          <w:szCs w:val="17"/>
          <w:color w:val="231F20"/>
        </w:rPr>
        <w:t xml:space="preserve">GLVHDVHVDQGGHYHORSLQJ%&amp;0$WDUJHWHG&amp;$57FHOOV </w:t>
      </w:r>
      <w:r>
        <w:rPr>
          <w:rFonts w:ascii="Times New Roman" w:cs="Times New Roman" w:eastAsia="Times New Roman" w:hAnsi="Times New Roman"/>
          <w:sz w:val="17"/>
          <w:szCs w:val="17"/>
          <w:color w:val="231F20"/>
        </w:rPr>
        <w:t>in multiple myeloma. Developing these therapies could</w:t>
      </w:r>
    </w:p>
    <w:p>
      <w:pPr>
        <w:ind w:left="6" w:right="100"/>
        <w:spacing w:after="0" w:line="505" w:lineRule="auto"/>
        <w:rPr>
          <w:rFonts w:ascii="Times New Roman" w:cs="Times New Roman" w:eastAsia="Times New Roman" w:hAnsi="Times New Roman"/>
          <w:sz w:val="20"/>
          <w:szCs w:val="20"/>
          <w:color w:val="231F20"/>
        </w:rPr>
      </w:pPr>
      <w:r>
        <w:rPr>
          <w:rFonts w:ascii="PMingLiU" w:cs="PMingLiU" w:eastAsia="PMingLiU" w:hAnsi="PMingLiU"/>
          <w:sz w:val="14"/>
          <w:szCs w:val="14"/>
          <w:color w:val="231F20"/>
        </w:rPr>
        <w:t xml:space="preserve">FUHDWHPHDQLQJIXOEHQH¿WIRUSDWLHQWVDQGSDWLHQWEHQH¿W </w:t>
      </w:r>
      <w:r>
        <w:rPr>
          <w:rFonts w:ascii="Times New Roman" w:cs="Times New Roman" w:eastAsia="Times New Roman" w:hAnsi="Times New Roman"/>
          <w:sz w:val="14"/>
          <w:szCs w:val="14"/>
          <w:color w:val="231F20"/>
        </w:rPr>
        <w:t>typically translates into meaningful value creation for all stakeholders. We look forward to sharing more about this exciting platform in the coming year.</w:t>
      </w:r>
    </w:p>
    <w:p>
      <w:pPr>
        <w:spacing w:after="0" w:line="2" w:lineRule="exact"/>
        <w:rPr>
          <w:sz w:val="20"/>
          <w:szCs w:val="20"/>
          <w:color w:val="auto"/>
        </w:rPr>
      </w:pPr>
    </w:p>
    <w:p>
      <w:pPr>
        <w:ind w:left="6" w:right="260"/>
        <w:spacing w:after="0" w:line="245" w:lineRule="auto"/>
        <w:rPr>
          <w:sz w:val="20"/>
          <w:szCs w:val="20"/>
          <w:color w:val="auto"/>
        </w:rPr>
      </w:pPr>
      <w:r>
        <w:rPr>
          <w:rFonts w:ascii="Times New Roman" w:cs="Times New Roman" w:eastAsia="Times New Roman" w:hAnsi="Times New Roman"/>
          <w:sz w:val="20"/>
          <w:szCs w:val="20"/>
          <w:color w:val="231F20"/>
        </w:rPr>
        <w:t>Driving progress with these potentially transformative medicines in diabetes, blood cancers, and autoimmune disease continues to require meaningful investments, which inevitably means that we remain dependent upon you, our shareholders, to help us fund them. I want</w:t>
      </w:r>
    </w:p>
    <w:p>
      <w:pPr>
        <w:spacing w:after="0" w:line="4" w:lineRule="exact"/>
        <w:rPr>
          <w:sz w:val="20"/>
          <w:szCs w:val="20"/>
          <w:color w:val="auto"/>
        </w:rPr>
      </w:pPr>
    </w:p>
    <w:p>
      <w:pPr>
        <w:ind w:left="6" w:right="200"/>
        <w:spacing w:after="0" w:line="288" w:lineRule="auto"/>
        <w:rPr>
          <w:sz w:val="20"/>
          <w:szCs w:val="20"/>
          <w:color w:val="auto"/>
        </w:rPr>
      </w:pPr>
      <w:r>
        <w:rPr>
          <w:rFonts w:ascii="Times New Roman" w:cs="Times New Roman" w:eastAsia="Times New Roman" w:hAnsi="Times New Roman"/>
          <w:sz w:val="16"/>
          <w:szCs w:val="16"/>
          <w:color w:val="231F20"/>
        </w:rPr>
        <w:t xml:space="preserve">to thank you for your ongoing support as we navigate </w:t>
      </w:r>
      <w:r>
        <w:rPr>
          <w:rFonts w:ascii="PMingLiU" w:cs="PMingLiU" w:eastAsia="PMingLiU" w:hAnsi="PMingLiU"/>
          <w:sz w:val="16"/>
          <w:szCs w:val="16"/>
          <w:color w:val="231F20"/>
        </w:rPr>
        <w:t xml:space="preserve">FRPSOH[VFLHQFHDQGDGL FXOWPDFURHQYLURQPHQWLQ RXUH RUWVWRPDNHLPSDFWIXOPHGLFLQHV,WKDVQRWEHHQ </w:t>
      </w:r>
      <w:r>
        <w:rPr>
          <w:rFonts w:ascii="Times New Roman" w:cs="Times New Roman" w:eastAsia="Times New Roman" w:hAnsi="Times New Roman"/>
          <w:sz w:val="16"/>
          <w:szCs w:val="16"/>
          <w:color w:val="231F20"/>
        </w:rPr>
        <w:t>a straight line, but it was particularly rewarding in 2025</w:t>
      </w:r>
    </w:p>
    <w:p>
      <w:pPr>
        <w:spacing w:after="0" w:line="2" w:lineRule="exact"/>
        <w:rPr>
          <w:sz w:val="20"/>
          <w:szCs w:val="20"/>
          <w:color w:val="auto"/>
        </w:rPr>
      </w:pPr>
    </w:p>
    <w:p>
      <w:pPr>
        <w:ind w:left="6" w:right="100"/>
        <w:spacing w:after="0" w:line="443" w:lineRule="auto"/>
        <w:rPr>
          <w:sz w:val="20"/>
          <w:szCs w:val="20"/>
          <w:color w:val="auto"/>
        </w:rPr>
      </w:pPr>
      <w:r>
        <w:rPr>
          <w:rFonts w:ascii="PMingLiU" w:cs="PMingLiU" w:eastAsia="PMingLiU" w:hAnsi="PMingLiU"/>
          <w:sz w:val="14"/>
          <w:szCs w:val="14"/>
          <w:color w:val="231F20"/>
        </w:rPr>
        <w:t xml:space="preserve">WRVHHWKH¿UVWFOLQLFDOFDVHVWXG\VKRZLQJWKDWRXUFHOOV </w:t>
      </w:r>
      <w:r>
        <w:rPr>
          <w:rFonts w:ascii="Times New Roman" w:cs="Times New Roman" w:eastAsia="Times New Roman" w:hAnsi="Times New Roman"/>
          <w:sz w:val="14"/>
          <w:szCs w:val="14"/>
          <w:color w:val="231F20"/>
        </w:rPr>
        <w:t xml:space="preserve">have the potential to be transformative in type 1 diabetes. I also want to thank our employees, without whom none of this progress would be possible. They are a passionate, intelligent, focused, and hard-working group who want </w:t>
      </w:r>
      <w:r>
        <w:rPr>
          <w:rFonts w:ascii="PMingLiU" w:cs="PMingLiU" w:eastAsia="PMingLiU" w:hAnsi="PMingLiU"/>
          <w:sz w:val="14"/>
          <w:szCs w:val="14"/>
          <w:color w:val="231F20"/>
        </w:rPr>
        <w:t xml:space="preserve">WRPDNHDPHDQLQJIXOGL HUHQFHIRUSDWLHQWVDQGEXLOGD </w:t>
      </w:r>
      <w:r>
        <w:rPr>
          <w:rFonts w:ascii="Times New Roman" w:cs="Times New Roman" w:eastAsia="Times New Roman" w:hAnsi="Times New Roman"/>
          <w:sz w:val="14"/>
          <w:szCs w:val="14"/>
          <w:color w:val="231F20"/>
        </w:rPr>
        <w:t xml:space="preserve">valuable company for you. There is light at the end of the tunnel, and we will almost certainly learn a lot about our future in the coming quarters. We look forward to it with </w:t>
      </w:r>
      <w:r>
        <w:rPr>
          <w:rFonts w:ascii="PMingLiU" w:cs="PMingLiU" w:eastAsia="PMingLiU" w:hAnsi="PMingLiU"/>
          <w:sz w:val="14"/>
          <w:szCs w:val="14"/>
          <w:color w:val="231F20"/>
        </w:rPr>
        <w:t>FXULRVLW\DQGFRQ¿GHQFH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1925320" cy="765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5320"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231F20"/>
        </w:rPr>
        <w:t>Steve Harr, MD</w:t>
      </w:r>
    </w:p>
    <w:p>
      <w:pPr>
        <w:sectPr>
          <w:pgSz w:w="11880" w:h="15480" w:orient="portrait"/>
          <w:cols w:equalWidth="0" w:num="2">
            <w:col w:w="4806" w:space="334"/>
            <w:col w:w="4826"/>
          </w:cols>
          <w:pgMar w:left="1134" w:top="1440" w:right="780" w:bottom="111"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005F9E"/>
        </w:rPr>
        <w:t>FORWARD-LOOKING STATEMENTS</w:t>
      </w:r>
    </w:p>
    <w:p>
      <w:pPr>
        <w:spacing w:after="0" w:line="125"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5"/>
          <w:szCs w:val="15"/>
          <w:color w:val="231F20"/>
        </w:rPr>
        <w:t xml:space="preserve">This letter contains forward-looking statements about Sana Biotechnology, Inc. within the meaning of the federal </w:t>
      </w:r>
      <w:r>
        <w:rPr>
          <w:rFonts w:ascii="PMingLiU" w:cs="PMingLiU" w:eastAsia="PMingLiU" w:hAnsi="PMingLiU"/>
          <w:sz w:val="15"/>
          <w:szCs w:val="15"/>
          <w:color w:val="231F20"/>
        </w:rPr>
        <w:t xml:space="preserve">VHFXULWLHVODZVLQFOXGLQJWKRVHUHODWHGWRRXUYLVLRQSURJUHVVDQGEXVLQHVVSODQVH[SHFWDWLRQVIRURXUGHYHORSPHQW </w:t>
      </w:r>
      <w:r>
        <w:rPr>
          <w:rFonts w:ascii="Times New Roman" w:cs="Times New Roman" w:eastAsia="Times New Roman" w:hAnsi="Times New Roman"/>
          <w:sz w:val="15"/>
          <w:szCs w:val="15"/>
          <w:color w:val="231F20"/>
        </w:rPr>
        <w:t xml:space="preserve">programs, product candidates, and technologies, including clinical, manufacturing, and regulatory timing expectations, </w:t>
      </w:r>
      <w:r>
        <w:rPr>
          <w:rFonts w:ascii="PMingLiU" w:cs="PMingLiU" w:eastAsia="PMingLiU" w:hAnsi="PMingLiU"/>
          <w:sz w:val="15"/>
          <w:szCs w:val="15"/>
          <w:color w:val="231F20"/>
        </w:rPr>
        <w:t>WKHSRWHQWLDOWLPLQJDQGVLJQL¿FDQFHRIGDWDIURPFOLQLFDOWULDOVLQYROYLQJRXUSURGXFWFDQGLGDWHVDQGWHFKQRORJLHV WKHSRWHQWLDOEHQH¿WVDQGLPSDFWRIRXUSURGXFWVFDQGLGDWHVDQGWHFKQRORJLHVDQGRXUSRWHQWLDODELOLW\WRSURJUHVV</w:t>
      </w:r>
    </w:p>
    <w:p>
      <w:pPr>
        <w:spacing w:after="0" w:line="398" w:lineRule="auto"/>
        <w:rPr>
          <w:sz w:val="20"/>
          <w:szCs w:val="20"/>
          <w:color w:val="auto"/>
        </w:rPr>
      </w:pPr>
      <w:r>
        <w:rPr>
          <w:rFonts w:ascii="PMingLiU" w:cs="PMingLiU" w:eastAsia="PMingLiU" w:hAnsi="PMingLiU"/>
          <w:sz w:val="15"/>
          <w:szCs w:val="15"/>
          <w:color w:val="231F20"/>
        </w:rPr>
        <w:t xml:space="preserve">DQGWKHYDOXHRIRXUFXUUHQWDQGIXWXUHGHYHORSPHQWSURJUDPVLQFOXGLQJLQFHUWDLQLQGLFDWLRQVH[SHFWDWLRQVIRU WKHFROODERUDWLRQZLWK0D\R&amp;OLQLFDQGH[SHFWDWLRQVZLWKUHVSHFWWRLQYHVWPHQWVLQRXUSRUWIROLR$OOVWDWHPHQWV </w:t>
      </w:r>
      <w:r>
        <w:rPr>
          <w:rFonts w:ascii="Times New Roman" w:cs="Times New Roman" w:eastAsia="Times New Roman" w:hAnsi="Times New Roman"/>
          <w:sz w:val="15"/>
          <w:szCs w:val="15"/>
          <w:color w:val="231F20"/>
        </w:rPr>
        <w:t xml:space="preserve">other than statements of historical facts contained in this letter, including, among others, statements regarding our strategy, expectations, and prospects, are forward-looking statements. In some cases, you can identify forward-looking statements by terminology such as “aim,” “anticipate,” “assume,” “believe,” “contemplate, ”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We have based these forward-looking statements largely on our current expectations, estimates, forecasts, and projections about </w:t>
      </w:r>
      <w:r>
        <w:rPr>
          <w:rFonts w:ascii="PMingLiU" w:cs="PMingLiU" w:eastAsia="PMingLiU" w:hAnsi="PMingLiU"/>
          <w:sz w:val="15"/>
          <w:szCs w:val="15"/>
          <w:color w:val="231F20"/>
        </w:rPr>
        <w:t xml:space="preserve">IXWXUHHYHQWVDQG¿QDQFLDOWUHQGVWKDWZHEHOLHYHPD\D HFWRXU¿QDQFLDOFRQGLWLRQUHVXOWVRIRSHUDWLRQVEXVLQHVV VWUDWHJ\DQG¿QDQFLDOQHHGV,QOLJKWRIWKHVLJQL¿FDQWXQFHUWDLQWLHVLQWKHVHIRUZDUGORRNLQJVWDWHPHQWV\RXVKRXOG </w:t>
      </w:r>
      <w:r>
        <w:rPr>
          <w:rFonts w:ascii="Times New Roman" w:cs="Times New Roman" w:eastAsia="Times New Roman" w:hAnsi="Times New Roman"/>
          <w:sz w:val="15"/>
          <w:szCs w:val="15"/>
          <w:color w:val="231F20"/>
        </w:rPr>
        <w:t xml:space="preserve">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our current and future research and development programs, preclinical and clinical trials, as well as economic, market, and social </w:t>
      </w:r>
      <w:r>
        <w:rPr>
          <w:rFonts w:ascii="PMingLiU" w:cs="PMingLiU" w:eastAsia="PMingLiU" w:hAnsi="PMingLiU"/>
          <w:sz w:val="15"/>
          <w:szCs w:val="15"/>
          <w:color w:val="231F20"/>
        </w:rPr>
        <w:t xml:space="preserve">GLVUXSWLRQV)RUDGHWDLOHGGLVFXVVLRQRIWKHULVNIDFWRUVWKDWFRXOGD HFWRXUDFWXDOUHVXOWVSOHDVHUHIHUWRWKHULVN IDFWRUVLGHQWL¿HGLQRXUUHSRUWV¿OHGZLWKWKH6HFXULWLHVDQG([FKDQJH&amp;RPPLVVLRQLQFOXGLQJEXWQRWOLPLWHGWRRXU </w:t>
      </w:r>
      <w:r>
        <w:rPr>
          <w:rFonts w:ascii="Times New Roman" w:cs="Times New Roman" w:eastAsia="Times New Roman" w:hAnsi="Times New Roman"/>
          <w:sz w:val="15"/>
          <w:szCs w:val="15"/>
          <w:color w:val="231F20"/>
        </w:rPr>
        <w:t>Annual Report on Form 10-K dated March 3, 2026. Except as required by law, we undertake no obligation to update publicly any forward-looking statements for any reason.</w:t>
      </w:r>
    </w:p>
    <w:p>
      <w:pPr>
        <w:sectPr>
          <w:pgSz w:w="11880" w:h="15480" w:orient="portrait"/>
          <w:cols w:equalWidth="0" w:num="1">
            <w:col w:w="9960"/>
          </w:cols>
          <w:pgMar w:left="960" w:top="889" w:right="96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4"/>
          <w:szCs w:val="24"/>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418465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2.95pt" to="567pt,32.9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437515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4.45pt" to="567pt,34.45pt" o:allowincell="f" strokecolor="#231F20" strokeweight="0.75pt">
                <w10:wrap anchorx="page" anchory="page"/>
              </v:line>
            </w:pict>
          </mc:Fallback>
        </mc:AlternateContent>
        <w:t>UNITED STATES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2832100</wp:posOffset>
                </wp:positionH>
                <wp:positionV relativeFrom="paragraph">
                  <wp:posOffset>71755</wp:posOffset>
                </wp:positionV>
                <wp:extent cx="1193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5.65pt" to="317pt,5.65pt" o:allowincell="f" strokecolor="#231F20" strokeweight="1pt"/>
            </w:pict>
          </mc:Fallback>
        </mc:AlternateConten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2832100</wp:posOffset>
                </wp:positionH>
                <wp:positionV relativeFrom="paragraph">
                  <wp:posOffset>99060</wp:posOffset>
                </wp:positionV>
                <wp:extent cx="1193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7.8pt" to="317pt,7.8pt" o:allowincell="f" strokecolor="#231F20" strokeweight="1pt"/>
            </w:pict>
          </mc:Fallback>
        </mc:AlternateConten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105" w:lineRule="exact"/>
        <w:rPr>
          <w:sz w:val="20"/>
          <w:szCs w:val="20"/>
          <w:color w:val="auto"/>
        </w:rPr>
      </w:pPr>
    </w:p>
    <w:p>
      <w:pPr>
        <w:ind w:left="500" w:hanging="500"/>
        <w:spacing w:after="0"/>
        <w:tabs>
          <w:tab w:leader="none" w:pos="500" w:val="left"/>
        </w:tabs>
        <w:numPr>
          <w:ilvl w:val="0"/>
          <w:numId w:val="4"/>
        </w:numPr>
        <w:rPr>
          <w:rFonts w:ascii="Segoe UI" w:cs="Segoe UI" w:eastAsia="Segoe UI" w:hAnsi="Segoe UI"/>
          <w:sz w:val="20"/>
          <w:szCs w:val="20"/>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50" w:lineRule="exact"/>
        <w:rPr>
          <w:rFonts w:ascii="Segoe UI" w:cs="Segoe UI" w:eastAsia="Segoe UI" w:hAnsi="Segoe UI"/>
          <w:sz w:val="20"/>
          <w:szCs w:val="20"/>
          <w:color w:val="231F20"/>
        </w:rPr>
      </w:pPr>
    </w:p>
    <w:p>
      <w:pPr>
        <w:ind w:left="3520"/>
        <w:spacing w:after="0"/>
        <w:rPr>
          <w:rFonts w:ascii="Segoe UI" w:cs="Segoe UI" w:eastAsia="Segoe UI" w:hAnsi="Segoe UI"/>
          <w:sz w:val="20"/>
          <w:szCs w:val="20"/>
          <w:color w:val="231F20"/>
        </w:rPr>
      </w:pPr>
      <w:r>
        <w:rPr>
          <w:rFonts w:ascii="Times New Roman" w:cs="Times New Roman" w:eastAsia="Times New Roman" w:hAnsi="Times New Roman"/>
          <w:sz w:val="20"/>
          <w:szCs w:val="20"/>
          <w:b w:val="1"/>
          <w:bCs w:val="1"/>
          <w:color w:val="231F20"/>
        </w:rPr>
        <w:t>For the fiscal year ended December 31, 2025</w:t>
      </w:r>
    </w:p>
    <w:p>
      <w:pPr>
        <w:spacing w:after="0" w:line="80" w:lineRule="exact"/>
        <w:rPr>
          <w:rFonts w:ascii="Segoe UI" w:cs="Segoe UI" w:eastAsia="Segoe UI" w:hAnsi="Segoe UI"/>
          <w:sz w:val="20"/>
          <w:szCs w:val="20"/>
          <w:color w:val="231F20"/>
        </w:rPr>
      </w:pPr>
    </w:p>
    <w:p>
      <w:pPr>
        <w:ind w:left="5260"/>
        <w:spacing w:after="0"/>
        <w:rPr>
          <w:rFonts w:ascii="Segoe UI" w:cs="Segoe UI" w:eastAsia="Segoe UI" w:hAnsi="Segoe UI"/>
          <w:sz w:val="20"/>
          <w:szCs w:val="20"/>
          <w:color w:val="231F20"/>
        </w:rPr>
      </w:pPr>
      <w:r>
        <w:rPr>
          <w:rFonts w:ascii="Times New Roman" w:cs="Times New Roman" w:eastAsia="Times New Roman" w:hAnsi="Times New Roman"/>
          <w:sz w:val="20"/>
          <w:szCs w:val="20"/>
          <w:b w:val="1"/>
          <w:bCs w:val="1"/>
          <w:color w:val="231F20"/>
        </w:rPr>
        <w:t>OR</w:t>
      </w:r>
    </w:p>
    <w:p>
      <w:pPr>
        <w:spacing w:after="0" w:line="109" w:lineRule="exact"/>
        <w:rPr>
          <w:sz w:val="20"/>
          <w:szCs w:val="20"/>
          <w:color w:val="auto"/>
        </w:rPr>
      </w:pPr>
    </w:p>
    <w:p>
      <w:pPr>
        <w:ind w:left="500" w:hanging="500"/>
        <w:spacing w:after="0"/>
        <w:tabs>
          <w:tab w:leader="none" w:pos="500" w:val="left"/>
        </w:tabs>
        <w:numPr>
          <w:ilvl w:val="0"/>
          <w:numId w:val="5"/>
        </w:numPr>
        <w:rPr>
          <w:rFonts w:ascii="Segoe UI" w:cs="Segoe UI" w:eastAsia="Segoe UI" w:hAnsi="Segoe UI"/>
          <w:sz w:val="20"/>
          <w:szCs w:val="20"/>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w:t>
      </w:r>
    </w:p>
    <w:p>
      <w:pPr>
        <w:spacing w:after="0" w:line="3" w:lineRule="exact"/>
        <w:rPr>
          <w:sz w:val="20"/>
          <w:szCs w:val="20"/>
          <w:color w:val="auto"/>
        </w:rPr>
      </w:pPr>
    </w:p>
    <w:p>
      <w:pPr>
        <w:ind w:left="500"/>
        <w:spacing w:after="0"/>
        <w:tabs>
          <w:tab w:leader="none" w:pos="5020" w:val="left"/>
        </w:tabs>
        <w:rPr>
          <w:sz w:val="20"/>
          <w:szCs w:val="20"/>
          <w:color w:val="auto"/>
        </w:rPr>
      </w:pPr>
      <w:r>
        <w:rPr>
          <w:rFonts w:ascii="Times New Roman" w:cs="Times New Roman" w:eastAsia="Times New Roman" w:hAnsi="Times New Roman"/>
          <w:sz w:val="20"/>
          <w:szCs w:val="20"/>
          <w:b w:val="1"/>
          <w:bCs w:val="1"/>
          <w:color w:val="231F20"/>
        </w:rPr>
        <w:t>FOR THE TRANSITION PERIOD FROM</w:t>
      </w:r>
      <w:r>
        <w:rPr>
          <w:sz w:val="20"/>
          <w:szCs w:val="20"/>
          <w:color w:val="auto"/>
        </w:rPr>
        <w:tab/>
      </w:r>
      <w:r>
        <w:rPr>
          <w:rFonts w:ascii="Times New Roman" w:cs="Times New Roman" w:eastAsia="Times New Roman" w:hAnsi="Times New Roman"/>
          <w:sz w:val="19"/>
          <w:szCs w:val="19"/>
          <w:b w:val="1"/>
          <w:bCs w:val="1"/>
          <w:color w:val="231F20"/>
        </w:rPr>
        <w:t>TO</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Commission File Number 001-39941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2832100</wp:posOffset>
                </wp:positionH>
                <wp:positionV relativeFrom="paragraph">
                  <wp:posOffset>92075</wp:posOffset>
                </wp:positionV>
                <wp:extent cx="1193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7.25pt" to="317pt,7.25pt" o:allowincell="f" strokecolor="#231F20" strokeweight="1pt"/>
            </w:pict>
          </mc:Fallback>
        </mc:AlternateConten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231F20"/>
        </w:rPr>
        <w:t>Sana Biotechnology,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2832100</wp:posOffset>
                </wp:positionH>
                <wp:positionV relativeFrom="paragraph">
                  <wp:posOffset>71755</wp:posOffset>
                </wp:positionV>
                <wp:extent cx="1193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5.65pt" to="317pt,5.65pt" o:allowincell="f" strokecolor="#231F20" strokeweight="1pt"/>
            </w:pict>
          </mc:Fallback>
        </mc:AlternateConten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237"/>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20"/>
                <w:szCs w:val="20"/>
                <w:b w:val="1"/>
                <w:bCs w:val="1"/>
                <w:color w:val="231F20"/>
                <w:w w:val="98"/>
              </w:rPr>
              <w:t>Delaware</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83-1381173</w:t>
            </w:r>
          </w:p>
        </w:tc>
      </w:tr>
      <w:tr>
        <w:trPr>
          <w:trHeight w:val="161"/>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14"/>
                <w:szCs w:val="14"/>
                <w:b w:val="1"/>
                <w:bCs w:val="1"/>
                <w:color w:val="231F20"/>
              </w:rPr>
              <w:t>(State or other jurisdiction of</w:t>
            </w:r>
          </w:p>
        </w:tc>
        <w:tc>
          <w:tcPr>
            <w:tcW w:w="2820" w:type="dxa"/>
            <w:vAlign w:val="bottom"/>
          </w:tcPr>
          <w:p>
            <w:pPr>
              <w:jc w:val="center"/>
              <w:ind w:left="1658"/>
              <w:spacing w:after="0"/>
              <w:rPr>
                <w:sz w:val="20"/>
                <w:szCs w:val="20"/>
                <w:color w:val="auto"/>
              </w:rPr>
            </w:pPr>
            <w:r>
              <w:rPr>
                <w:rFonts w:ascii="Times New Roman" w:cs="Times New Roman" w:eastAsia="Times New Roman" w:hAnsi="Times New Roman"/>
                <w:sz w:val="14"/>
                <w:szCs w:val="14"/>
                <w:b w:val="1"/>
                <w:bCs w:val="1"/>
                <w:color w:val="231F20"/>
                <w:w w:val="98"/>
              </w:rPr>
              <w:t>(I.R.S. Employer</w:t>
            </w:r>
          </w:p>
        </w:tc>
      </w:tr>
      <w:tr>
        <w:trPr>
          <w:trHeight w:val="174"/>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14"/>
                <w:szCs w:val="14"/>
                <w:b w:val="1"/>
                <w:bCs w:val="1"/>
                <w:color w:val="231F20"/>
              </w:rPr>
              <w:t>incorporation or organization)</w:t>
            </w:r>
          </w:p>
        </w:tc>
        <w:tc>
          <w:tcPr>
            <w:tcW w:w="2820" w:type="dxa"/>
            <w:vAlign w:val="bottom"/>
          </w:tcPr>
          <w:p>
            <w:pPr>
              <w:jc w:val="center"/>
              <w:ind w:left="1658"/>
              <w:spacing w:after="0"/>
              <w:rPr>
                <w:sz w:val="20"/>
                <w:szCs w:val="20"/>
                <w:color w:val="auto"/>
              </w:rPr>
            </w:pPr>
            <w:r>
              <w:rPr>
                <w:rFonts w:ascii="Times New Roman" w:cs="Times New Roman" w:eastAsia="Times New Roman" w:hAnsi="Times New Roman"/>
                <w:sz w:val="14"/>
                <w:szCs w:val="14"/>
                <w:b w:val="1"/>
                <w:bCs w:val="1"/>
                <w:color w:val="231F20"/>
                <w:w w:val="98"/>
              </w:rPr>
              <w:t>Identification No.)</w:t>
            </w:r>
          </w:p>
        </w:tc>
      </w:tr>
      <w:tr>
        <w:trPr>
          <w:trHeight w:val="230"/>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20"/>
                <w:szCs w:val="20"/>
                <w:b w:val="1"/>
                <w:bCs w:val="1"/>
                <w:color w:val="231F20"/>
                <w:w w:val="99"/>
              </w:rPr>
              <w:t>188 East Blaine Street, Suite 350</w:t>
            </w:r>
          </w:p>
        </w:tc>
        <w:tc>
          <w:tcPr>
            <w:tcW w:w="2820" w:type="dxa"/>
            <w:vAlign w:val="bottom"/>
          </w:tcPr>
          <w:p>
            <w:pPr>
              <w:spacing w:after="0"/>
              <w:rPr>
                <w:sz w:val="20"/>
                <w:szCs w:val="20"/>
                <w:color w:val="auto"/>
              </w:rPr>
            </w:pPr>
          </w:p>
        </w:tc>
      </w:tr>
      <w:tr>
        <w:trPr>
          <w:trHeight w:val="257"/>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20"/>
                <w:szCs w:val="20"/>
                <w:b w:val="1"/>
                <w:bCs w:val="1"/>
                <w:color w:val="231F20"/>
              </w:rPr>
              <w:t>Seattle, Washington</w:t>
            </w:r>
          </w:p>
        </w:tc>
        <w:tc>
          <w:tcPr>
            <w:tcW w:w="2820" w:type="dxa"/>
            <w:vAlign w:val="bottom"/>
          </w:tcPr>
          <w:p>
            <w:pPr>
              <w:jc w:val="right"/>
              <w:ind w:right="198"/>
              <w:spacing w:after="0"/>
              <w:rPr>
                <w:sz w:val="20"/>
                <w:szCs w:val="20"/>
                <w:color w:val="auto"/>
              </w:rPr>
            </w:pPr>
            <w:r>
              <w:rPr>
                <w:rFonts w:ascii="Times New Roman" w:cs="Times New Roman" w:eastAsia="Times New Roman" w:hAnsi="Times New Roman"/>
                <w:sz w:val="20"/>
                <w:szCs w:val="20"/>
                <w:b w:val="1"/>
                <w:bCs w:val="1"/>
                <w:color w:val="231F20"/>
              </w:rPr>
              <w:t>98102</w:t>
            </w:r>
          </w:p>
        </w:tc>
      </w:tr>
      <w:tr>
        <w:trPr>
          <w:trHeight w:val="191"/>
        </w:trPr>
        <w:tc>
          <w:tcPr>
            <w:tcW w:w="4500" w:type="dxa"/>
            <w:vAlign w:val="bottom"/>
          </w:tcPr>
          <w:p>
            <w:pPr>
              <w:jc w:val="center"/>
              <w:ind w:right="1655"/>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tc>
        <w:tc>
          <w:tcPr>
            <w:tcW w:w="2820" w:type="dxa"/>
            <w:vAlign w:val="bottom"/>
          </w:tcPr>
          <w:p>
            <w:pPr>
              <w:jc w:val="center"/>
              <w:ind w:left="1658"/>
              <w:spacing w:after="0"/>
              <w:rPr>
                <w:sz w:val="20"/>
                <w:szCs w:val="20"/>
                <w:color w:val="auto"/>
              </w:rPr>
            </w:pPr>
            <w:r>
              <w:rPr>
                <w:rFonts w:ascii="Times New Roman" w:cs="Times New Roman" w:eastAsia="Times New Roman" w:hAnsi="Times New Roman"/>
                <w:sz w:val="14"/>
                <w:szCs w:val="14"/>
                <w:b w:val="1"/>
                <w:bCs w:val="1"/>
                <w:color w:val="231F20"/>
                <w:w w:val="98"/>
              </w:rPr>
              <w:t>(Zip Code)</w:t>
            </w:r>
          </w:p>
        </w:tc>
      </w:tr>
    </w:tbl>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Registrant’s telephone number, including area code: (206) 701-7914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2832100</wp:posOffset>
                </wp:positionH>
                <wp:positionV relativeFrom="paragraph">
                  <wp:posOffset>238125</wp:posOffset>
                </wp:positionV>
                <wp:extent cx="1193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pt,18.75pt" to="317pt,18.75pt" o:allowincell="f" strokecolor="#231F20" strokeweight="1pt"/>
            </w:pict>
          </mc:Fallback>
        </mc:AlternateConten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231F20"/>
              </w:rPr>
              <w:t>Securities registered pursuant to Section 12(b) of the Act:</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43"/>
        </w:trPr>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03"/>
        </w:trPr>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231F20"/>
            </w:tcBorders>
          </w:tcPr>
          <w:p>
            <w:pPr>
              <w:jc w:val="center"/>
              <w:ind w:left="58"/>
              <w:spacing w:after="0"/>
              <w:rPr>
                <w:sz w:val="20"/>
                <w:szCs w:val="20"/>
                <w:color w:val="auto"/>
              </w:rPr>
            </w:pPr>
            <w:r>
              <w:rPr>
                <w:rFonts w:ascii="Times New Roman" w:cs="Times New Roman" w:eastAsia="Times New Roman" w:hAnsi="Times New Roman"/>
                <w:sz w:val="16"/>
                <w:szCs w:val="16"/>
                <w:b w:val="1"/>
                <w:bCs w:val="1"/>
                <w:color w:val="231F20"/>
              </w:rPr>
              <w:t>Symbol(s)</w:t>
            </w:r>
          </w:p>
        </w:tc>
        <w:tc>
          <w:tcPr>
            <w:tcW w:w="100" w:type="dxa"/>
            <w:vAlign w:val="bottom"/>
          </w:tcPr>
          <w:p>
            <w:pPr>
              <w:spacing w:after="0"/>
              <w:rPr>
                <w:sz w:val="17"/>
                <w:szCs w:val="17"/>
                <w:color w:val="auto"/>
              </w:rPr>
            </w:pPr>
          </w:p>
        </w:tc>
        <w:tc>
          <w:tcPr>
            <w:tcW w:w="4220" w:type="dxa"/>
            <w:vAlign w:val="bottom"/>
            <w:tcBorders>
              <w:bottom w:val="single" w:sz="8" w:color="231F20"/>
            </w:tcBorders>
          </w:tcPr>
          <w:p>
            <w:pPr>
              <w:ind w:left="700"/>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17"/>
        </w:trPr>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Common Stock, $0.0001 par value per share</w:t>
            </w:r>
          </w:p>
        </w:tc>
        <w:tc>
          <w:tcPr>
            <w:tcW w:w="100" w:type="dxa"/>
            <w:vAlign w:val="bottom"/>
          </w:tcPr>
          <w:p>
            <w:pPr>
              <w:spacing w:after="0"/>
              <w:rPr>
                <w:sz w:val="18"/>
                <w:szCs w:val="18"/>
                <w:color w:val="auto"/>
              </w:rPr>
            </w:pPr>
          </w:p>
        </w:tc>
        <w:tc>
          <w:tcPr>
            <w:tcW w:w="2160" w:type="dxa"/>
            <w:vAlign w:val="bottom"/>
          </w:tcPr>
          <w:p>
            <w:pPr>
              <w:ind w:left="840"/>
              <w:spacing w:after="0"/>
              <w:rPr>
                <w:sz w:val="20"/>
                <w:szCs w:val="20"/>
                <w:color w:val="auto"/>
              </w:rPr>
            </w:pPr>
            <w:r>
              <w:rPr>
                <w:rFonts w:ascii="Times New Roman" w:cs="Times New Roman" w:eastAsia="Times New Roman" w:hAnsi="Times New Roman"/>
                <w:sz w:val="17"/>
                <w:szCs w:val="17"/>
                <w:color w:val="231F20"/>
              </w:rPr>
              <w:t>SANA</w:t>
            </w:r>
          </w:p>
        </w:tc>
        <w:tc>
          <w:tcPr>
            <w:tcW w:w="100" w:type="dxa"/>
            <w:vAlign w:val="bottom"/>
          </w:tcPr>
          <w:p>
            <w:pPr>
              <w:spacing w:after="0"/>
              <w:rPr>
                <w:sz w:val="18"/>
                <w:szCs w:val="18"/>
                <w:color w:val="auto"/>
              </w:rPr>
            </w:pPr>
          </w:p>
        </w:tc>
        <w:tc>
          <w:tcPr>
            <w:tcW w:w="4220" w:type="dxa"/>
            <w:vAlign w:val="bottom"/>
          </w:tcPr>
          <w:p>
            <w:pPr>
              <w:ind w:left="1040"/>
              <w:spacing w:after="0"/>
              <w:rPr>
                <w:sz w:val="20"/>
                <w:szCs w:val="20"/>
                <w:color w:val="auto"/>
              </w:rPr>
            </w:pPr>
            <w:r>
              <w:rPr>
                <w:rFonts w:ascii="Times New Roman" w:cs="Times New Roman" w:eastAsia="Times New Roman" w:hAnsi="Times New Roman"/>
                <w:sz w:val="17"/>
                <w:szCs w:val="17"/>
                <w:color w:val="231F20"/>
              </w:rPr>
              <w:t>The Nasdaq Stock Market LLC</w:t>
            </w: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Securities registered pursuant to Section 12(g) of the Act: None</w:t>
      </w:r>
    </w:p>
    <w:p>
      <w:pPr>
        <w:spacing w:after="0" w:line="16" w:lineRule="exact"/>
        <w:rPr>
          <w:sz w:val="20"/>
          <w:szCs w:val="20"/>
          <w:color w:val="auto"/>
        </w:rPr>
      </w:pPr>
    </w:p>
    <w:p>
      <w:pPr>
        <w:ind w:right="2880"/>
        <w:spacing w:after="0" w:line="243" w:lineRule="auto"/>
        <w:rPr>
          <w:sz w:val="20"/>
          <w:szCs w:val="20"/>
          <w:color w:val="auto"/>
        </w:rPr>
      </w:pPr>
      <w:r>
        <w:rPr>
          <w:rFonts w:ascii="Times New Roman" w:cs="Times New Roman" w:eastAsia="Times New Roman" w:hAnsi="Times New Roman"/>
          <w:sz w:val="15"/>
          <w:szCs w:val="15"/>
          <w:color w:val="231F20"/>
        </w:rPr>
        <w:t xml:space="preserve">Indicate by check mark if the Registrant is a well-known seasoned issuer, as defined in Rule 405 of the Securities Act.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Indicate by check mark if the Registrant is not required to file reports pursuant to Section 13 or 15(d) of the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231F20"/>
        </w:rPr>
        <w:t>See the definitions of “large accelerated filer,” “accelerated filer,” “smaller reporting company,” and “emerging growth company” in Rule 12b-2 of the Exchange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231F20"/>
              </w:rPr>
              <w:t>Large accelerated filer</w:t>
            </w:r>
          </w:p>
        </w:tc>
        <w:tc>
          <w:tcPr>
            <w:tcW w:w="3020" w:type="dxa"/>
            <w:vAlign w:val="bottom"/>
          </w:tcPr>
          <w:p>
            <w:pPr>
              <w:ind w:left="500"/>
              <w:spacing w:after="0"/>
              <w:rPr>
                <w:sz w:val="20"/>
                <w:szCs w:val="20"/>
                <w:color w:val="auto"/>
              </w:rPr>
            </w:pPr>
            <w:r>
              <w:rPr>
                <w:rFonts w:ascii="Segoe UI" w:cs="Segoe UI" w:eastAsia="Segoe UI" w:hAnsi="Segoe UI"/>
                <w:sz w:val="15"/>
                <w:szCs w:val="15"/>
                <w:color w:val="231F20"/>
              </w:rPr>
              <w:t>ն</w:t>
            </w:r>
          </w:p>
        </w:tc>
        <w:tc>
          <w:tcPr>
            <w:tcW w:w="4600" w:type="dxa"/>
            <w:vAlign w:val="bottom"/>
          </w:tcPr>
          <w:p>
            <w:pPr>
              <w:ind w:left="2400"/>
              <w:spacing w:after="0"/>
              <w:rPr>
                <w:sz w:val="20"/>
                <w:szCs w:val="20"/>
                <w:color w:val="auto"/>
              </w:rPr>
            </w:pPr>
            <w:r>
              <w:rPr>
                <w:rFonts w:ascii="Times New Roman" w:cs="Times New Roman" w:eastAsia="Times New Roman" w:hAnsi="Times New Roman"/>
                <w:sz w:val="15"/>
                <w:szCs w:val="15"/>
                <w:color w:val="231F20"/>
              </w:rPr>
              <w:t>Accelerated filer</w:t>
            </w:r>
          </w:p>
        </w:tc>
        <w:tc>
          <w:tcPr>
            <w:tcW w:w="680" w:type="dxa"/>
            <w:vAlign w:val="bottom"/>
          </w:tcPr>
          <w:p>
            <w:pPr>
              <w:ind w:left="540"/>
              <w:spacing w:after="0"/>
              <w:rPr>
                <w:sz w:val="20"/>
                <w:szCs w:val="20"/>
                <w:color w:val="auto"/>
              </w:rPr>
            </w:pPr>
            <w:r>
              <w:rPr>
                <w:rFonts w:ascii="Segoe UI" w:cs="Segoe UI" w:eastAsia="Segoe UI" w:hAnsi="Segoe UI"/>
                <w:sz w:val="15"/>
                <w:szCs w:val="15"/>
                <w:color w:val="231F20"/>
              </w:rPr>
              <w:t>ն</w:t>
            </w:r>
          </w:p>
        </w:tc>
      </w:tr>
      <w:tr>
        <w:trPr>
          <w:trHeight w:val="199"/>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231F20"/>
              </w:rPr>
              <w:t>Non-accelerated filer</w:t>
            </w:r>
          </w:p>
        </w:tc>
        <w:tc>
          <w:tcPr>
            <w:tcW w:w="3020" w:type="dxa"/>
            <w:vAlign w:val="bottom"/>
          </w:tcPr>
          <w:p>
            <w:pPr>
              <w:ind w:left="500"/>
              <w:spacing w:after="0"/>
              <w:rPr>
                <w:sz w:val="20"/>
                <w:szCs w:val="20"/>
                <w:color w:val="auto"/>
              </w:rPr>
            </w:pPr>
            <w:r>
              <w:rPr>
                <w:rFonts w:ascii="Segoe UI" w:cs="Segoe UI" w:eastAsia="Segoe UI" w:hAnsi="Segoe UI"/>
                <w:sz w:val="15"/>
                <w:szCs w:val="15"/>
                <w:color w:val="231F20"/>
              </w:rPr>
              <w:t>շ</w:t>
            </w:r>
          </w:p>
        </w:tc>
        <w:tc>
          <w:tcPr>
            <w:tcW w:w="4600" w:type="dxa"/>
            <w:vAlign w:val="bottom"/>
          </w:tcPr>
          <w:p>
            <w:pPr>
              <w:ind w:left="2400"/>
              <w:spacing w:after="0"/>
              <w:rPr>
                <w:sz w:val="20"/>
                <w:szCs w:val="20"/>
                <w:color w:val="auto"/>
              </w:rPr>
            </w:pPr>
            <w:r>
              <w:rPr>
                <w:rFonts w:ascii="Times New Roman" w:cs="Times New Roman" w:eastAsia="Times New Roman" w:hAnsi="Times New Roman"/>
                <w:sz w:val="15"/>
                <w:szCs w:val="15"/>
                <w:color w:val="231F20"/>
              </w:rPr>
              <w:t>Smaller reporting company</w:t>
            </w:r>
          </w:p>
        </w:tc>
        <w:tc>
          <w:tcPr>
            <w:tcW w:w="680" w:type="dxa"/>
            <w:vAlign w:val="bottom"/>
          </w:tcPr>
          <w:p>
            <w:pPr>
              <w:ind w:left="540"/>
              <w:spacing w:after="0"/>
              <w:rPr>
                <w:sz w:val="20"/>
                <w:szCs w:val="20"/>
                <w:color w:val="auto"/>
              </w:rPr>
            </w:pPr>
            <w:r>
              <w:rPr>
                <w:rFonts w:ascii="Segoe UI" w:cs="Segoe UI" w:eastAsia="Segoe UI" w:hAnsi="Segoe UI"/>
                <w:sz w:val="15"/>
                <w:szCs w:val="15"/>
                <w:color w:val="231F20"/>
              </w:rPr>
              <w:t>շ</w:t>
            </w:r>
          </w:p>
        </w:tc>
      </w:tr>
      <w:tr>
        <w:trPr>
          <w:trHeight w:val="244"/>
        </w:trPr>
        <w:tc>
          <w:tcPr>
            <w:tcW w:w="2140" w:type="dxa"/>
            <w:vAlign w:val="bottom"/>
          </w:tcPr>
          <w:p>
            <w:pPr>
              <w:spacing w:after="0"/>
              <w:rPr>
                <w:sz w:val="20"/>
                <w:szCs w:val="20"/>
                <w:color w:val="auto"/>
              </w:rPr>
            </w:pPr>
            <w:r>
              <w:rPr>
                <w:rFonts w:ascii="Times New Roman" w:cs="Times New Roman" w:eastAsia="Times New Roman" w:hAnsi="Times New Roman"/>
                <w:sz w:val="15"/>
                <w:szCs w:val="15"/>
                <w:color w:val="231F20"/>
              </w:rPr>
              <w:t>Emerging growth company</w:t>
            </w:r>
          </w:p>
        </w:tc>
        <w:tc>
          <w:tcPr>
            <w:tcW w:w="3020" w:type="dxa"/>
            <w:vAlign w:val="bottom"/>
          </w:tcPr>
          <w:p>
            <w:pPr>
              <w:ind w:left="500"/>
              <w:spacing w:after="0"/>
              <w:rPr>
                <w:sz w:val="20"/>
                <w:szCs w:val="20"/>
                <w:color w:val="auto"/>
              </w:rPr>
            </w:pPr>
            <w:r>
              <w:rPr>
                <w:rFonts w:ascii="Segoe UI" w:cs="Segoe UI" w:eastAsia="Segoe UI" w:hAnsi="Segoe UI"/>
                <w:sz w:val="15"/>
                <w:szCs w:val="15"/>
                <w:color w:val="231F20"/>
              </w:rPr>
              <w:t>շ</w:t>
            </w:r>
          </w:p>
        </w:tc>
        <w:tc>
          <w:tcPr>
            <w:tcW w:w="460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2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231F20"/>
        </w:rPr>
        <w:t>ն</w:t>
      </w:r>
    </w:p>
    <w:p>
      <w:pPr>
        <w:ind w:right="580"/>
        <w:spacing w:after="0" w:line="239"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231F20"/>
        </w:rPr>
        <w:t>ն</w:t>
      </w:r>
    </w:p>
    <w:p>
      <w:pPr>
        <w:spacing w:after="0" w:line="1" w:lineRule="exact"/>
        <w:rPr>
          <w:sz w:val="20"/>
          <w:szCs w:val="20"/>
          <w:color w:val="auto"/>
        </w:rPr>
      </w:pPr>
    </w:p>
    <w:p>
      <w:pPr>
        <w:ind w:right="640"/>
        <w:spacing w:after="0" w:line="233" w:lineRule="auto"/>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color w:val="231F20"/>
        </w:rPr>
        <w:t></w:t>
      </w:r>
    </w:p>
    <w:p>
      <w:pPr>
        <w:ind w:right="700"/>
        <w:spacing w:after="0" w:line="228" w:lineRule="auto"/>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5"/>
          <w:szCs w:val="15"/>
          <w:color w:val="231F20"/>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 xml:space="preserve">Indicate by check mark whether the Registrant is a shell company (as defined in Rule 12b-2 of the Exchange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p>
    <w:p>
      <w:pPr>
        <w:spacing w:after="0" w:line="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5"/>
          <w:szCs w:val="15"/>
          <w:color w:val="231F20"/>
        </w:rPr>
        <w:t>The aggregate market value of the voting and non-voting common equity held by non-affiliates of the Registrant was approximately $295.1 million, based on the closing price of the Registrant’s common stock on the Nasdaq Global Select Market on June 30, 2025, the last business day of the Registrant’s most recently completed second fiscal quarter. Shares of the Registrant’s common stock held by each officer and director and stockholders that the Registrant has concluded are affiliates of the Registrant have been excluded in that such persons may be deemed affiliates of the Registrant. This determination of affiliate status is not a determination for other purposes. As of February 24, 2026, the Registrant had 266,866,897 shares of common stock, $0.0001 par value per share, outstanding.</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231F20"/>
        </w:rPr>
        <w:t>DOCUMENTS INCORPORATED BY REFERENCE</w:t>
      </w:r>
    </w:p>
    <w:p>
      <w:pPr>
        <w:spacing w:after="0" w:line="22"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15"/>
          <w:szCs w:val="15"/>
          <w:color w:val="231F20"/>
        </w:rPr>
        <w:t>Portions of the Registrant’s definitive Proxy Statement relating to its 2026 Annual Meeting of Stockholders (Proxy Statement) are incorporated by reference into Part III of this Annual Report on Form 10-K (Annual Report) where indicated. The Proxy Statement will be filed with the U.S. Securities and Exchange Commission within 120 days after the end of the fiscal year to which this Annual Report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66040</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pt" to="540pt,5.2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85090</wp:posOffset>
                </wp:positionV>
                <wp:extent cx="68580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pt" to="540pt,6.7pt" o:allowincell="f" strokecolor="#231F20" strokeweight="0.75pt"/>
            </w:pict>
          </mc:Fallback>
        </mc:AlternateContent>
      </w:r>
    </w:p>
    <w:p>
      <w:pPr>
        <w:sectPr>
          <w:pgSz w:w="11880" w:h="15480" w:orient="portrait"/>
          <w:cols w:equalWidth="0" w:num="1">
            <w:col w:w="10800"/>
          </w:cols>
          <w:pgMar w:left="540" w:top="749" w:right="540" w:bottom="808" w:gutter="0" w:footer="0" w:header="0"/>
        </w:sectPr>
      </w:pPr>
    </w:p>
    <w:bookmarkStart w:id="5" w:name="page6"/>
    <w:bookmarkEnd w:id="5"/>
    <w:p>
      <w:pPr>
        <w:ind w:left="464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80"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6303645</wp:posOffset>
                </wp:positionH>
                <wp:positionV relativeFrom="paragraph">
                  <wp:posOffset>15240</wp:posOffset>
                </wp:positionV>
                <wp:extent cx="5543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35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35pt,1.2pt" to="540pt,1.2pt" o:allowincell="f" strokecolor="#231F20" strokeweight="0.5pt"/>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1" w:lineRule="exact"/>
        <w:rPr>
          <w:sz w:val="20"/>
          <w:szCs w:val="20"/>
          <w:color w:val="auto"/>
        </w:rPr>
      </w:pPr>
    </w:p>
    <w:p>
      <w:pPr>
        <w:ind w:left="480"/>
        <w:spacing w:after="0"/>
        <w:tabs>
          <w:tab w:leader="none" w:pos="1360" w:val="left"/>
          <w:tab w:leader="dot" w:pos="1068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w:t>
      </w:r>
      <w:r>
        <w:rPr>
          <w:sz w:val="20"/>
          <w:szCs w:val="20"/>
          <w:color w:val="auto"/>
        </w:rPr>
        <w:tab/>
      </w:r>
      <w:r>
        <w:rPr>
          <w:rFonts w:ascii="Times New Roman" w:cs="Times New Roman" w:eastAsia="Times New Roman" w:hAnsi="Times New Roman"/>
          <w:sz w:val="20"/>
          <w:szCs w:val="20"/>
          <w:color w:val="231F20"/>
        </w:rPr>
        <w:t>5</w:t>
      </w:r>
    </w:p>
    <w:p>
      <w:pPr>
        <w:spacing w:after="0" w:line="8" w:lineRule="exact"/>
        <w:rPr>
          <w:sz w:val="20"/>
          <w:szCs w:val="20"/>
          <w:color w:val="auto"/>
        </w:rPr>
      </w:pPr>
    </w:p>
    <w:p>
      <w:pPr>
        <w:ind w:left="480"/>
        <w:spacing w:after="0"/>
        <w:tabs>
          <w:tab w:leader="none" w:pos="1360" w:val="left"/>
          <w:tab w:leader="dot" w:pos="10580" w:val="left"/>
        </w:tabs>
        <w:rPr>
          <w:sz w:val="20"/>
          <w:szCs w:val="20"/>
          <w:color w:val="auto"/>
        </w:rPr>
      </w:pPr>
      <w:r>
        <w:rPr>
          <w:rFonts w:ascii="Times New Roman" w:cs="Times New Roman" w:eastAsia="Times New Roman" w:hAnsi="Times New Roman"/>
          <w:sz w:val="20"/>
          <w:szCs w:val="20"/>
          <w:color w:val="231F20"/>
        </w:rPr>
        <w:t>Item 1A.</w:t>
        <w:tab/>
        <w:t>Risk Factors</w:t>
      </w:r>
      <w:r>
        <w:rPr>
          <w:sz w:val="20"/>
          <w:szCs w:val="20"/>
          <w:color w:val="auto"/>
        </w:rPr>
        <w:tab/>
      </w:r>
      <w:r>
        <w:rPr>
          <w:rFonts w:ascii="Times New Roman" w:cs="Times New Roman" w:eastAsia="Times New Roman" w:hAnsi="Times New Roman"/>
          <w:sz w:val="20"/>
          <w:szCs w:val="20"/>
          <w:color w:val="231F20"/>
        </w:rPr>
        <w:t>63</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1B.</w:t>
        <w:tab/>
        <w:t>Unresolved Staff Comments</w:t>
      </w:r>
      <w:r>
        <w:rPr>
          <w:sz w:val="20"/>
          <w:szCs w:val="20"/>
          <w:color w:val="auto"/>
        </w:rPr>
        <w:tab/>
      </w:r>
      <w:r>
        <w:rPr>
          <w:rFonts w:ascii="Times New Roman" w:cs="Times New Roman" w:eastAsia="Times New Roman" w:hAnsi="Times New Roman"/>
          <w:sz w:val="20"/>
          <w:szCs w:val="20"/>
          <w:color w:val="231F20"/>
        </w:rPr>
        <w:t>131</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1C.</w:t>
        <w:tab/>
        <w:t>Cybersecurity</w:t>
      </w:r>
      <w:r>
        <w:rPr>
          <w:sz w:val="20"/>
          <w:szCs w:val="20"/>
          <w:color w:val="auto"/>
        </w:rPr>
        <w:tab/>
      </w:r>
      <w:r>
        <w:rPr>
          <w:rFonts w:ascii="Times New Roman" w:cs="Times New Roman" w:eastAsia="Times New Roman" w:hAnsi="Times New Roman"/>
          <w:sz w:val="20"/>
          <w:szCs w:val="20"/>
          <w:color w:val="231F20"/>
        </w:rPr>
        <w:t>131</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w:t>
      </w:r>
      <w:r>
        <w:rPr>
          <w:sz w:val="20"/>
          <w:szCs w:val="20"/>
          <w:color w:val="auto"/>
        </w:rPr>
        <w:tab/>
      </w:r>
      <w:r>
        <w:rPr>
          <w:rFonts w:ascii="Times New Roman" w:cs="Times New Roman" w:eastAsia="Times New Roman" w:hAnsi="Times New Roman"/>
          <w:sz w:val="20"/>
          <w:szCs w:val="20"/>
          <w:color w:val="231F20"/>
        </w:rPr>
        <w:t>132</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w:t>
      </w:r>
      <w:r>
        <w:rPr>
          <w:sz w:val="20"/>
          <w:szCs w:val="20"/>
          <w:color w:val="auto"/>
        </w:rPr>
        <w:tab/>
      </w:r>
      <w:r>
        <w:rPr>
          <w:rFonts w:ascii="Times New Roman" w:cs="Times New Roman" w:eastAsia="Times New Roman" w:hAnsi="Times New Roman"/>
          <w:sz w:val="20"/>
          <w:szCs w:val="20"/>
          <w:color w:val="231F20"/>
        </w:rPr>
        <w:t>133</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w:t>
      </w:r>
      <w:r>
        <w:rPr>
          <w:sz w:val="20"/>
          <w:szCs w:val="20"/>
          <w:color w:val="auto"/>
        </w:rPr>
        <w:tab/>
      </w:r>
      <w:r>
        <w:rPr>
          <w:rFonts w:ascii="Times New Roman" w:cs="Times New Roman" w:eastAsia="Times New Roman" w:hAnsi="Times New Roman"/>
          <w:sz w:val="20"/>
          <w:szCs w:val="20"/>
          <w:color w:val="231F20"/>
        </w:rPr>
        <w:t>133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2"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 of Equity</w:t>
      </w:r>
    </w:p>
    <w:p>
      <w:pPr>
        <w:ind w:left="1380"/>
        <w:spacing w:after="0"/>
        <w:tabs>
          <w:tab w:leader="dot" w:pos="10480" w:val="left"/>
        </w:tabs>
        <w:rPr>
          <w:sz w:val="20"/>
          <w:szCs w:val="20"/>
          <w:color w:val="auto"/>
        </w:rPr>
      </w:pPr>
      <w:r>
        <w:rPr>
          <w:rFonts w:ascii="Times New Roman" w:cs="Times New Roman" w:eastAsia="Times New Roman" w:hAnsi="Times New Roman"/>
          <w:sz w:val="20"/>
          <w:szCs w:val="20"/>
          <w:color w:val="231F20"/>
        </w:rPr>
        <w:t>Securities</w:t>
      </w:r>
      <w:r>
        <w:rPr>
          <w:sz w:val="20"/>
          <w:szCs w:val="20"/>
          <w:color w:val="auto"/>
        </w:rPr>
        <w:tab/>
      </w:r>
      <w:r>
        <w:rPr>
          <w:rFonts w:ascii="Times New Roman" w:cs="Times New Roman" w:eastAsia="Times New Roman" w:hAnsi="Times New Roman"/>
          <w:sz w:val="20"/>
          <w:szCs w:val="20"/>
          <w:color w:val="231F20"/>
        </w:rPr>
        <w:t>134</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w:t>
      </w:r>
      <w:r>
        <w:rPr>
          <w:sz w:val="20"/>
          <w:szCs w:val="20"/>
          <w:color w:val="auto"/>
        </w:rPr>
        <w:tab/>
      </w:r>
      <w:r>
        <w:rPr>
          <w:rFonts w:ascii="Times New Roman" w:cs="Times New Roman" w:eastAsia="Times New Roman" w:hAnsi="Times New Roman"/>
          <w:sz w:val="20"/>
          <w:szCs w:val="20"/>
          <w:color w:val="231F20"/>
        </w:rPr>
        <w:t>135</w:t>
      </w:r>
    </w:p>
    <w:p>
      <w:pPr>
        <w:spacing w:after="0" w:line="8"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231F20"/>
        </w:rPr>
        <w:t>135</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149</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w:t>
      </w:r>
      <w:r>
        <w:rPr>
          <w:sz w:val="20"/>
          <w:szCs w:val="20"/>
          <w:color w:val="auto"/>
        </w:rPr>
        <w:tab/>
      </w:r>
      <w:r>
        <w:rPr>
          <w:rFonts w:ascii="Times New Roman" w:cs="Times New Roman" w:eastAsia="Times New Roman" w:hAnsi="Times New Roman"/>
          <w:sz w:val="20"/>
          <w:szCs w:val="20"/>
          <w:color w:val="231F20"/>
        </w:rPr>
        <w:t>151</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176</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9A.</w:t>
        <w:tab/>
        <w:t>Controls and Procedures</w:t>
      </w:r>
      <w:r>
        <w:rPr>
          <w:sz w:val="20"/>
          <w:szCs w:val="20"/>
          <w:color w:val="auto"/>
        </w:rPr>
        <w:tab/>
      </w:r>
      <w:r>
        <w:rPr>
          <w:rFonts w:ascii="Times New Roman" w:cs="Times New Roman" w:eastAsia="Times New Roman" w:hAnsi="Times New Roman"/>
          <w:sz w:val="20"/>
          <w:szCs w:val="20"/>
          <w:color w:val="231F20"/>
        </w:rPr>
        <w:t>176</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9B.</w:t>
        <w:tab/>
        <w:t>Other Information</w:t>
      </w:r>
      <w:r>
        <w:rPr>
          <w:sz w:val="20"/>
          <w:szCs w:val="20"/>
          <w:color w:val="auto"/>
        </w:rPr>
        <w:tab/>
      </w:r>
      <w:r>
        <w:rPr>
          <w:rFonts w:ascii="Times New Roman" w:cs="Times New Roman" w:eastAsia="Times New Roman" w:hAnsi="Times New Roman"/>
          <w:sz w:val="20"/>
          <w:szCs w:val="20"/>
          <w:color w:val="231F20"/>
        </w:rPr>
        <w:t>176</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177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2"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231F20"/>
        </w:rPr>
        <w:t>178</w:t>
      </w:r>
    </w:p>
    <w:p>
      <w:pPr>
        <w:spacing w:after="0" w:line="8"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11.</w:t>
        <w:tab/>
        <w:t>Executive Compensation</w:t>
      </w:r>
      <w:r>
        <w:rPr>
          <w:sz w:val="20"/>
          <w:szCs w:val="20"/>
          <w:color w:val="auto"/>
        </w:rPr>
        <w:tab/>
      </w:r>
      <w:r>
        <w:rPr>
          <w:rFonts w:ascii="Times New Roman" w:cs="Times New Roman" w:eastAsia="Times New Roman" w:hAnsi="Times New Roman"/>
          <w:sz w:val="20"/>
          <w:szCs w:val="20"/>
          <w:color w:val="231F20"/>
        </w:rPr>
        <w:t>178</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231F20"/>
        </w:rPr>
        <w:t>178</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178</w:t>
      </w:r>
    </w:p>
    <w:p>
      <w:pPr>
        <w:spacing w:after="0" w:line="20"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14.</w:t>
        <w:tab/>
        <w:t>Principal Accounting Fees and Services</w:t>
      </w:r>
      <w:r>
        <w:rPr>
          <w:sz w:val="20"/>
          <w:szCs w:val="20"/>
          <w:color w:val="auto"/>
        </w:rPr>
        <w:tab/>
      </w:r>
      <w:r>
        <w:rPr>
          <w:rFonts w:ascii="Times New Roman" w:cs="Times New Roman" w:eastAsia="Times New Roman" w:hAnsi="Times New Roman"/>
          <w:sz w:val="20"/>
          <w:szCs w:val="20"/>
          <w:color w:val="231F20"/>
        </w:rPr>
        <w:t>178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2"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15.</w:t>
        <w:tab/>
        <w:t>Exhibits and Financial Statement Schedules</w:t>
      </w:r>
      <w:r>
        <w:rPr>
          <w:sz w:val="20"/>
          <w:szCs w:val="20"/>
          <w:color w:val="auto"/>
        </w:rPr>
        <w:tab/>
      </w:r>
      <w:r>
        <w:rPr>
          <w:rFonts w:ascii="Times New Roman" w:cs="Times New Roman" w:eastAsia="Times New Roman" w:hAnsi="Times New Roman"/>
          <w:sz w:val="20"/>
          <w:szCs w:val="20"/>
          <w:color w:val="231F20"/>
        </w:rPr>
        <w:t>179</w:t>
      </w:r>
    </w:p>
    <w:p>
      <w:pPr>
        <w:spacing w:after="0" w:line="8" w:lineRule="exact"/>
        <w:rPr>
          <w:sz w:val="20"/>
          <w:szCs w:val="20"/>
          <w:color w:val="auto"/>
        </w:rPr>
      </w:pPr>
    </w:p>
    <w:p>
      <w:pPr>
        <w:ind w:left="480"/>
        <w:spacing w:after="0"/>
        <w:tabs>
          <w:tab w:leader="none" w:pos="1360" w:val="left"/>
          <w:tab w:leader="dot" w:pos="10480" w:val="left"/>
        </w:tabs>
        <w:rPr>
          <w:sz w:val="20"/>
          <w:szCs w:val="20"/>
          <w:color w:val="auto"/>
        </w:rPr>
      </w:pPr>
      <w:r>
        <w:rPr>
          <w:rFonts w:ascii="Times New Roman" w:cs="Times New Roman" w:eastAsia="Times New Roman" w:hAnsi="Times New Roman"/>
          <w:sz w:val="20"/>
          <w:szCs w:val="20"/>
          <w:color w:val="231F20"/>
        </w:rPr>
        <w:t>Item 16.</w:t>
        <w:tab/>
        <w:t>Form 10-K Summary</w:t>
      </w:r>
      <w:r>
        <w:rPr>
          <w:sz w:val="20"/>
          <w:szCs w:val="20"/>
          <w:color w:val="auto"/>
        </w:rPr>
        <w:tab/>
      </w:r>
      <w:r>
        <w:rPr>
          <w:rFonts w:ascii="Times New Roman" w:cs="Times New Roman" w:eastAsia="Times New Roman" w:hAnsi="Times New Roman"/>
          <w:sz w:val="20"/>
          <w:szCs w:val="20"/>
          <w:color w:val="231F20"/>
        </w:rPr>
        <w:t>183</w:t>
      </w:r>
    </w:p>
    <w:p>
      <w:pPr>
        <w:sectPr>
          <w:pgSz w:w="11880" w:h="15480" w:orient="portrait"/>
          <w:cols w:equalWidth="0" w:num="1">
            <w:col w:w="10800"/>
          </w:cols>
          <w:pgMar w:left="540" w:top="746"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800"/>
          </w:cols>
          <w:pgMar w:left="540" w:top="746" w:right="540" w:bottom="64"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24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This Annual Report on Form 10-K (Annual Report) contains forward-looking statements that involve substantial risks and uncertainties. All statements other than statements of historical facts contained in this Annual Report could be deemed forward-looking statements, including those statements highlighted below.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spacing w:after="0" w:line="94" w:lineRule="exact"/>
        <w:rPr>
          <w:sz w:val="20"/>
          <w:szCs w:val="20"/>
          <w:color w:val="auto"/>
        </w:rPr>
      </w:pPr>
    </w:p>
    <w:p>
      <w:pPr>
        <w:ind w:left="980" w:right="84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potential market size and size of the potential patient populations for our product candidates and any future product candidates, if approved for commercial use;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clinical and regulatory development plans;</w:t>
      </w:r>
    </w:p>
    <w:p>
      <w:pPr>
        <w:spacing w:after="0" w:line="133" w:lineRule="exact"/>
        <w:rPr>
          <w:rFonts w:ascii="Arial" w:cs="Arial" w:eastAsia="Arial" w:hAnsi="Arial"/>
          <w:sz w:val="20"/>
          <w:szCs w:val="20"/>
          <w:color w:val="231F20"/>
        </w:rPr>
      </w:pPr>
    </w:p>
    <w:p>
      <w:pPr>
        <w:ind w:left="980" w:right="94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with regard to our preclinical studies, clinical trials, regulatory submissions, and research and development programs, including the impact, timing, and availability of data from such studies and trials;</w:t>
      </w:r>
    </w:p>
    <w:p>
      <w:pPr>
        <w:spacing w:after="0" w:line="64"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of commencement and advancement of future preclinical studies, clinical trials, and research and development programs;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acquire, discover, and develop product candidates and timely advance them into and through clinical data readouts and successful completion of clinical trials;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potential safety, efficacy, or clinical utility of our product candidates;</w:t>
      </w:r>
    </w:p>
    <w:p>
      <w:pPr>
        <w:spacing w:after="0" w:line="133"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our business strategy following the implementation of portfolio prioritizations and adjustments in our business strategy, including with respect to our research and development focus on our remaining programs;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intentions with respect to and our ability to establish collaborations or partnerships;</w:t>
      </w:r>
    </w:p>
    <w:p>
      <w:pPr>
        <w:spacing w:after="0" w:line="133"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or likelihood of regulatory filings and approvals for our product candidates, including regulatory submissions for clinical trials;</w:t>
      </w:r>
    </w:p>
    <w:p>
      <w:pPr>
        <w:spacing w:after="0" w:line="64"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commercialization, marketing, and manufacturing expectations, including with respect to our manufacturing facility and capabilities and the timing thereof;</w:t>
      </w:r>
    </w:p>
    <w:p>
      <w:pPr>
        <w:spacing w:after="0" w:line="64"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impact of future regulatory, judicial, legislative, or other governmental changes or developments in the United States and foreign countries;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intentions with respect to the commercialization of our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pricing and reimbursement of our product candidates, if approved;</w:t>
      </w:r>
    </w:p>
    <w:p>
      <w:pPr>
        <w:spacing w:after="0" w:line="133" w:lineRule="exact"/>
        <w:rPr>
          <w:rFonts w:ascii="Arial" w:cs="Arial" w:eastAsia="Arial" w:hAnsi="Arial"/>
          <w:sz w:val="20"/>
          <w:szCs w:val="20"/>
          <w:color w:val="231F20"/>
        </w:rPr>
      </w:pPr>
    </w:p>
    <w:p>
      <w:pPr>
        <w:ind w:left="980" w:right="80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implementation of our business model and strategic plans for our business and product candidates, including additional indications that we may pursue;</w:t>
      </w:r>
    </w:p>
    <w:p>
      <w:pPr>
        <w:spacing w:after="0" w:line="64"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effectively manage our future operations, including our ability to retain and recruit personnel, and maintain our culture;</w:t>
      </w:r>
    </w:p>
    <w:p>
      <w:pPr>
        <w:spacing w:after="0" w:line="64" w:lineRule="exact"/>
        <w:rPr>
          <w:rFonts w:ascii="Arial" w:cs="Arial" w:eastAsia="Arial" w:hAnsi="Arial"/>
          <w:sz w:val="20"/>
          <w:szCs w:val="20"/>
          <w:color w:val="231F20"/>
        </w:rPr>
      </w:pPr>
    </w:p>
    <w:p>
      <w:pPr>
        <w:ind w:left="980" w:right="7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protection we are able to establish and maintain for intellectual property rights covering our product candidates and technologies, including the projected terms of patent protection;</w:t>
      </w:r>
    </w:p>
    <w:p>
      <w:pPr>
        <w:spacing w:after="0" w:line="64" w:lineRule="exact"/>
        <w:rPr>
          <w:rFonts w:ascii="Arial" w:cs="Arial" w:eastAsia="Arial" w:hAnsi="Arial"/>
          <w:sz w:val="20"/>
          <w:szCs w:val="20"/>
          <w:color w:val="231F20"/>
        </w:rPr>
      </w:pPr>
    </w:p>
    <w:p>
      <w:pPr>
        <w:ind w:left="980" w:right="54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estimates of our expenses, future revenue, capital requirements, needs for additional financing, and ability to obtain additional capital;</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financial condition, including the sufficiency of our existing cash, cash equivalents, and marketable securities to finance all of our operations, and our ability to continue as a going concern;</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performance of suppliers, manufacturers, and other third parties we may engage;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future financial performance;</w:t>
      </w:r>
    </w:p>
    <w:p>
      <w:pPr>
        <w:spacing w:after="0" w:line="133" w:lineRule="exact"/>
        <w:rPr>
          <w:rFonts w:ascii="Arial" w:cs="Arial" w:eastAsia="Arial" w:hAnsi="Arial"/>
          <w:sz w:val="20"/>
          <w:szCs w:val="20"/>
          <w:color w:val="231F20"/>
        </w:rPr>
      </w:pPr>
    </w:p>
    <w:p>
      <w:pPr>
        <w:ind w:left="980" w:right="50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duration for which we will be an emerging growth company under the Jumpstart Our Business Startups Act of 2012 (JOBS Act);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and projections relating to our competitors and our industry, including competing products.</w:t>
      </w:r>
    </w:p>
    <w:p>
      <w:pPr>
        <w:spacing w:after="0" w:line="119"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We have based these forward-looking statements largely on our current expectations, estimates, forecasts, and projections about future events, our business, the industry in which we operate, and financial trends that we believe may affect our financial condition,</w:t>
      </w:r>
    </w:p>
    <w:p>
      <w:pPr>
        <w:sectPr>
          <w:pgSz w:w="11880" w:h="15480" w:orient="portrait"/>
          <w:cols w:equalWidth="0" w:num="1">
            <w:col w:w="10760"/>
          </w:cols>
          <w:pgMar w:left="540" w:top="746" w:right="580" w:bottom="0" w:gutter="0" w:footer="0" w:header="0"/>
        </w:sect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760"/>
          </w:cols>
          <w:pgMar w:left="540" w:top="746" w:right="580" w:bottom="0" w:gutter="0" w:footer="0" w:header="0"/>
          <w:type w:val="continuous"/>
        </w:sectPr>
      </w:pPr>
    </w:p>
    <w:bookmarkStart w:id="7" w:name="page8"/>
    <w:bookmarkEnd w:id="7"/>
    <w:p>
      <w:pPr>
        <w:ind w:right="40"/>
        <w:spacing w:after="0" w:line="243" w:lineRule="auto"/>
        <w:rPr>
          <w:sz w:val="20"/>
          <w:szCs w:val="20"/>
          <w:color w:val="auto"/>
        </w:rPr>
      </w:pPr>
      <w:r>
        <w:rPr>
          <w:rFonts w:ascii="Times New Roman" w:cs="Times New Roman" w:eastAsia="Times New Roman" w:hAnsi="Times New Roman"/>
          <w:sz w:val="20"/>
          <w:szCs w:val="20"/>
          <w:color w:val="231F20"/>
        </w:rPr>
        <w:t>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we cannot guarantee that the future results, levels of activity, performance, or events and circumstances reflected in the forward-looking statements will be achieved or occur in a timely manner or at all. You should refer to the sections titled “Risk Factors” and “Management’s Discussion and Analysis of Financial Condition and Results of Operations” for a discussion of important factors that may cause our actual results to differ materially from those expressed or implied by our forward-looking statements. Other sections of this Annual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Except as required by law, we undertake no obligation to publicly update any forward-looking statements, whether as a result of new information, future events, or otherwise.</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should not unduly rely upon these statements.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760"/>
          </w:cols>
          <w:pgMar w:left="540" w:top="750" w:right="580" w:bottom="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RISK FACTOR SUMMARY</w:t>
      </w:r>
    </w:p>
    <w:p>
      <w:pPr>
        <w:spacing w:after="0" w:line="126"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i w:val="1"/>
          <w:iCs w:val="1"/>
          <w:color w:val="231F20"/>
        </w:rPr>
        <w:t>Investing in our securities involves a high degree of risk. Below is a summary of material factors that make an investment in our securities speculative or risky. Importantly, this summary does not address every aspect of our risk factors, all of the risks that we face, or other factors not presently known to us or that we currently believe are immaterial. Additional discussion of the risks summarized in this Risk Factor Summary, as well as other risks that we face, can be found under the heading “Risk Factors” in Part I of this Annual Report.</w:t>
      </w:r>
    </w:p>
    <w:p>
      <w:pPr>
        <w:spacing w:after="0" w:line="20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Our business is subject to a number of risks of which you should be aware before making a decision to invest in our common stock. These risks include, among others, the following:</w:t>
      </w:r>
    </w:p>
    <w:p>
      <w:pPr>
        <w:spacing w:after="0" w:line="64" w:lineRule="exact"/>
        <w:rPr>
          <w:sz w:val="20"/>
          <w:szCs w:val="20"/>
          <w:color w:val="auto"/>
        </w:rPr>
      </w:pPr>
    </w:p>
    <w:p>
      <w:pPr>
        <w:ind w:left="980" w:hanging="490"/>
        <w:spacing w:after="0" w:line="249"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p>
    <w:p>
      <w:pPr>
        <w:spacing w:after="0" w:line="90" w:lineRule="exact"/>
        <w:rPr>
          <w:rFonts w:ascii="Arial" w:cs="Arial" w:eastAsia="Arial" w:hAnsi="Arial"/>
          <w:sz w:val="20"/>
          <w:szCs w:val="20"/>
          <w:color w:val="231F20"/>
        </w:rPr>
      </w:pPr>
    </w:p>
    <w:p>
      <w:pPr>
        <w:ind w:left="980" w:right="280" w:hanging="490"/>
        <w:spacing w:after="0" w:line="304" w:lineRule="auto"/>
        <w:tabs>
          <w:tab w:leader="none" w:pos="98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are unable to successfully identify, develop, and commercialize any product candidates, or experience significant delays in doing so, our business, financial condition, and results of operations will be materially adversely affected.</w:t>
      </w:r>
    </w:p>
    <w:p>
      <w:pPr>
        <w:spacing w:after="0" w:line="40" w:lineRule="exact"/>
        <w:rPr>
          <w:rFonts w:ascii="Arial" w:cs="Arial" w:eastAsia="Arial" w:hAnsi="Arial"/>
          <w:sz w:val="19"/>
          <w:szCs w:val="19"/>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There is substantial doubt as to our ability to continue as a going concern.</w:t>
      </w:r>
    </w:p>
    <w:p>
      <w:pPr>
        <w:spacing w:after="0" w:line="133" w:lineRule="exact"/>
        <w:rPr>
          <w:rFonts w:ascii="Arial" w:cs="Arial" w:eastAsia="Arial" w:hAnsi="Arial"/>
          <w:sz w:val="20"/>
          <w:szCs w:val="20"/>
          <w:color w:val="231F20"/>
        </w:rPr>
      </w:pPr>
    </w:p>
    <w:p>
      <w:pPr>
        <w:ind w:left="980" w:right="220" w:hanging="490"/>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We will require additional funding to finance our operations. If we are unable to raise capital when needed, or on acceptable terms, we could be forced to delay, reduce, or eliminate some or all of our product development programs or commercialization efforts.</w:t>
      </w:r>
    </w:p>
    <w:p>
      <w:pPr>
        <w:spacing w:after="0" w:line="81" w:lineRule="exact"/>
        <w:rPr>
          <w:rFonts w:ascii="Arial" w:cs="Arial" w:eastAsia="Arial" w:hAnsi="Arial"/>
          <w:sz w:val="20"/>
          <w:szCs w:val="20"/>
          <w:color w:val="231F20"/>
        </w:rPr>
      </w:pPr>
    </w:p>
    <w:p>
      <w:pPr>
        <w:ind w:left="980" w:right="280" w:hanging="490"/>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realize the benefits of technologies that we have acquired or in-licensed or will acquire or in-license in the future. We may also fail to enter into new strategic relationships or may not realize the benefits of any strategic relationships that we have entered into. The occurrence of any of the foregoing could materially adversely affect our business, financial condition, commercialization prospects, and results of operations.</w:t>
      </w:r>
    </w:p>
    <w:p>
      <w:pPr>
        <w:spacing w:after="0" w:line="87" w:lineRule="exact"/>
        <w:rPr>
          <w:rFonts w:ascii="Arial" w:cs="Arial" w:eastAsia="Arial" w:hAnsi="Arial"/>
          <w:sz w:val="20"/>
          <w:szCs w:val="20"/>
          <w:color w:val="231F20"/>
        </w:rPr>
      </w:pPr>
    </w:p>
    <w:p>
      <w:pPr>
        <w:ind w:left="980" w:right="24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our cell engineering platforms and product candidates and our future growth depend on retaining our key personnel and recruiting additional qualified personnel.</w:t>
      </w:r>
    </w:p>
    <w:p>
      <w:pPr>
        <w:spacing w:after="0" w:line="64" w:lineRule="exact"/>
        <w:rPr>
          <w:rFonts w:ascii="Arial" w:cs="Arial" w:eastAsia="Arial" w:hAnsi="Arial"/>
          <w:sz w:val="20"/>
          <w:szCs w:val="20"/>
          <w:color w:val="231F20"/>
        </w:rPr>
      </w:pPr>
    </w:p>
    <w:p>
      <w:pPr>
        <w:ind w:left="980" w:right="30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encounter difficulties in managing our growth if and as we expand our operations, including our development and regulatory capabilities, which could disrupt our operations and otherwise harm our business.</w:t>
      </w:r>
    </w:p>
    <w:p>
      <w:pPr>
        <w:spacing w:after="0" w:line="64" w:lineRule="exact"/>
        <w:rPr>
          <w:rFonts w:ascii="Arial" w:cs="Arial" w:eastAsia="Arial" w:hAnsi="Arial"/>
          <w:sz w:val="20"/>
          <w:szCs w:val="20"/>
          <w:color w:val="231F20"/>
        </w:rPr>
      </w:pPr>
    </w:p>
    <w:p>
      <w:pPr>
        <w:ind w:left="980" w:right="20" w:hanging="490"/>
        <w:spacing w:after="0" w:line="249"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The use of human stem cells exposes us to a number of risks in the development of our human stem cell-derived products, including inability to obtain suitable donor material from eligible and qualified human donors, restrictions on the use of human stem cells, as well as ethical, legal, and social implications of research on the use of stem cells, any of which could prevent us from completing the development of or commercializing and gaining acceptance for our human stem cell-derived products.</w:t>
      </w:r>
    </w:p>
    <w:p>
      <w:pPr>
        <w:spacing w:after="0" w:line="90" w:lineRule="exact"/>
        <w:rPr>
          <w:rFonts w:ascii="Arial" w:cs="Arial" w:eastAsia="Arial" w:hAnsi="Arial"/>
          <w:sz w:val="20"/>
          <w:szCs w:val="20"/>
          <w:color w:val="231F20"/>
        </w:rPr>
      </w:pPr>
    </w:p>
    <w:p>
      <w:pPr>
        <w:ind w:left="980" w:right="160" w:hanging="490"/>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p>
    <w:p>
      <w:pPr>
        <w:spacing w:after="0" w:line="87"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Preclinical testing of our product candidates may be delayed or otherwise unsuccessful, which would harm our ability to commence and successfully complete clinical trials of, and ultimately commercialize, such product candidates.</w:t>
      </w:r>
    </w:p>
    <w:p>
      <w:pPr>
        <w:spacing w:after="0" w:line="64" w:lineRule="exact"/>
        <w:rPr>
          <w:rFonts w:ascii="Arial" w:cs="Arial" w:eastAsia="Arial" w:hAnsi="Arial"/>
          <w:sz w:val="20"/>
          <w:szCs w:val="20"/>
          <w:color w:val="231F20"/>
        </w:rPr>
      </w:pPr>
    </w:p>
    <w:p>
      <w:pPr>
        <w:ind w:left="980" w:right="180" w:hanging="490"/>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p>
    <w:p>
      <w:pPr>
        <w:spacing w:after="0" w:line="81" w:lineRule="exact"/>
        <w:rPr>
          <w:rFonts w:ascii="Arial" w:cs="Arial" w:eastAsia="Arial" w:hAnsi="Arial"/>
          <w:sz w:val="20"/>
          <w:szCs w:val="20"/>
          <w:color w:val="231F20"/>
        </w:rPr>
      </w:pPr>
    </w:p>
    <w:p>
      <w:pPr>
        <w:ind w:left="980" w:right="40" w:hanging="490"/>
        <w:spacing w:after="0" w:line="269" w:lineRule="auto"/>
        <w:tabs>
          <w:tab w:leader="none" w:pos="98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Clinical trials may fail to demonstrate that our product candidates, including any future product candidates, or technologies used in or used to develop such product candidates, meet the United States Food and Drug Administration`s (FDA) or a comparable foreign regulatory authority's requirements with respect to safety, purity, and potency, or efficacy, which would prevent, delay, or limit the scope of regulatory approval and commercialization of such product candidates.</w:t>
      </w:r>
    </w:p>
    <w:p>
      <w:pPr>
        <w:spacing w:after="0" w:line="73" w:lineRule="exact"/>
        <w:rPr>
          <w:rFonts w:ascii="Arial" w:cs="Arial" w:eastAsia="Arial" w:hAnsi="Arial"/>
          <w:sz w:val="19"/>
          <w:szCs w:val="19"/>
          <w:color w:val="231F20"/>
        </w:rPr>
      </w:pPr>
    </w:p>
    <w:p>
      <w:pPr>
        <w:ind w:left="980" w:right="80" w:hanging="490"/>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780"/>
          </w:cols>
          <w:pgMar w:left="540" w:top="746" w:right="560" w:bottom="0" w:gutter="0" w:footer="0" w:header="0"/>
          <w:type w:val="continuous"/>
        </w:sectPr>
      </w:pPr>
    </w:p>
    <w:bookmarkStart w:id="9" w:name="page10"/>
    <w:bookmarkEnd w:id="9"/>
    <w:p>
      <w:pPr>
        <w:ind w:left="490" w:right="80" w:hanging="490"/>
        <w:spacing w:after="0" w:line="258"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manufacture of our product candidates is complex. We or our contract development and manufacturing organizations (CDMOs) may encounter difficulties in production, which could delay or entirely halt our or their ability to supply our product candidates for clinical trials or, if approved, for commercial sale.</w:t>
      </w:r>
    </w:p>
    <w:p>
      <w:pPr>
        <w:spacing w:after="0" w:line="81" w:lineRule="exact"/>
        <w:rPr>
          <w:rFonts w:ascii="Arial" w:cs="Arial" w:eastAsia="Arial" w:hAnsi="Arial"/>
          <w:sz w:val="20"/>
          <w:szCs w:val="20"/>
          <w:color w:val="231F20"/>
        </w:rPr>
      </w:pPr>
    </w:p>
    <w:p>
      <w:pPr>
        <w:ind w:left="490" w:right="420" w:hanging="490"/>
        <w:spacing w:after="0" w:line="276"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exposed to a number of risks related to the supply chain for the materials required to manufacture our product candidates.</w:t>
      </w:r>
    </w:p>
    <w:p>
      <w:pPr>
        <w:spacing w:after="0" w:line="64" w:lineRule="exact"/>
        <w:rPr>
          <w:rFonts w:ascii="Arial" w:cs="Arial" w:eastAsia="Arial" w:hAnsi="Arial"/>
          <w:sz w:val="20"/>
          <w:szCs w:val="20"/>
          <w:color w:val="231F20"/>
        </w:rPr>
      </w:pPr>
    </w:p>
    <w:p>
      <w:pPr>
        <w:ind w:left="490" w:right="40" w:hanging="490"/>
        <w:spacing w:after="0" w:line="252"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rely, and expect to continue to rely, on third parties to perform certain activities, including research and preclinical studies, manufacture of our product candidates and materials used in the manufacturing of our product candidates, and the conduct of various aspects of our clinical trials. Any failure of such third parties to perform their obligations to us, including in accordance with our timelines or applicable regulatory requirements, could materially harm our business.</w:t>
      </w:r>
    </w:p>
    <w:p>
      <w:pPr>
        <w:spacing w:after="0" w:line="87" w:lineRule="exact"/>
        <w:rPr>
          <w:rFonts w:ascii="Arial" w:cs="Arial" w:eastAsia="Arial" w:hAnsi="Arial"/>
          <w:sz w:val="20"/>
          <w:szCs w:val="20"/>
          <w:color w:val="231F20"/>
        </w:rPr>
      </w:pPr>
    </w:p>
    <w:p>
      <w:pPr>
        <w:ind w:left="490" w:right="20" w:hanging="490"/>
        <w:spacing w:after="0" w:line="276"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success depends on our ability to protect our intellectual property rights and proprietary technologies, and we may not be able to protect our intellectual property rights throughout the world.</w:t>
      </w:r>
    </w:p>
    <w:p>
      <w:pPr>
        <w:spacing w:after="0" w:line="64" w:lineRule="exact"/>
        <w:rPr>
          <w:rFonts w:ascii="Arial" w:cs="Arial" w:eastAsia="Arial" w:hAnsi="Arial"/>
          <w:sz w:val="20"/>
          <w:szCs w:val="20"/>
          <w:color w:val="231F20"/>
        </w:rPr>
      </w:pPr>
    </w:p>
    <w:p>
      <w:pPr>
        <w:ind w:left="490" w:right="200" w:hanging="490"/>
        <w:spacing w:after="0" w:line="258"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depend on intellectual property licensed from third parties. If we breach our obligations under the applicable license agreements or if any of these agreements is terminated, we may be required to pay damages, lose our rights to such intellectual property and technology, or both, which would harm our business.</w:t>
      </w:r>
    </w:p>
    <w:p>
      <w:pPr>
        <w:spacing w:after="0" w:line="81" w:lineRule="exact"/>
        <w:rPr>
          <w:rFonts w:ascii="Arial" w:cs="Arial" w:eastAsia="Arial" w:hAnsi="Arial"/>
          <w:sz w:val="20"/>
          <w:szCs w:val="20"/>
          <w:color w:val="231F20"/>
        </w:rPr>
      </w:pPr>
    </w:p>
    <w:p>
      <w:pPr>
        <w:ind w:left="490" w:right="260" w:hanging="490"/>
        <w:spacing w:after="0" w:line="258"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internal computer systems, or those used by third parties involved in our operations, such as research institution collaborators, clinical research organizations (CROs), CDMOs, and other service providers, contractors, or consultants, may fail or suffer security breaches or incidents.</w:t>
      </w:r>
    </w:p>
    <w:p>
      <w:pPr>
        <w:spacing w:after="0" w:line="81" w:lineRule="exact"/>
        <w:rPr>
          <w:rFonts w:ascii="Arial" w:cs="Arial" w:eastAsia="Arial" w:hAnsi="Arial"/>
          <w:sz w:val="20"/>
          <w:szCs w:val="20"/>
          <w:color w:val="231F20"/>
        </w:rPr>
      </w:pPr>
    </w:p>
    <w:p>
      <w:pPr>
        <w:ind w:left="490" w:hanging="490"/>
        <w:spacing w:after="0" w:line="249"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development and commercialization of biopharmaceutical products is subject to extensive regulation, and the regulatory approval processes of the FDA and comparable foreign regulatory authorities are lengthy, time-consuming, and inherently unpredictable. Disruptions at these regulatory authorities could delay or otherwise hinder the regulatory approval process for our product candidates. If we are unable to obtain regulatory approval for our product candidates on a timely basis, or at all, our business will be substantially harmed.</w:t>
      </w:r>
    </w:p>
    <w:p>
      <w:pPr>
        <w:spacing w:after="0" w:line="90" w:lineRule="exact"/>
        <w:rPr>
          <w:rFonts w:ascii="Arial" w:cs="Arial" w:eastAsia="Arial" w:hAnsi="Arial"/>
          <w:sz w:val="20"/>
          <w:szCs w:val="20"/>
          <w:color w:val="231F20"/>
        </w:rPr>
      </w:pPr>
    </w:p>
    <w:p>
      <w:pPr>
        <w:ind w:left="490" w:right="100" w:hanging="490"/>
        <w:spacing w:after="0" w:line="276"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incurred significant losses since our inception, and we expect to incur losses for the foreseeable future. We have no products approved for commercial sale and may never achieve or maintain profitability.</w:t>
      </w:r>
    </w:p>
    <w:p>
      <w:pPr>
        <w:spacing w:after="0" w:line="64" w:lineRule="exact"/>
        <w:rPr>
          <w:rFonts w:ascii="Arial" w:cs="Arial" w:eastAsia="Arial" w:hAnsi="Arial"/>
          <w:sz w:val="20"/>
          <w:szCs w:val="20"/>
          <w:color w:val="231F20"/>
        </w:rPr>
      </w:pPr>
    </w:p>
    <w:p>
      <w:pPr>
        <w:ind w:left="490" w:right="360" w:hanging="490"/>
        <w:spacing w:after="0" w:line="276"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success payment and contingent consideration obligations in our license and acquisition agreements may result in dilution to our stockholders, drain our cash resources, or require us to incur debt to satisfy the payment obligations.</w:t>
      </w:r>
    </w:p>
    <w:p>
      <w:pPr>
        <w:spacing w:after="0" w:line="64" w:lineRule="exact"/>
        <w:rPr>
          <w:rFonts w:ascii="Arial" w:cs="Arial" w:eastAsia="Arial" w:hAnsi="Arial"/>
          <w:sz w:val="20"/>
          <w:szCs w:val="20"/>
          <w:color w:val="231F20"/>
        </w:rPr>
      </w:pPr>
    </w:p>
    <w:p>
      <w:pPr>
        <w:ind w:left="490" w:right="120" w:hanging="490"/>
        <w:spacing w:after="0" w:line="276"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operate in highly competitive and rapidly changing industries, which may result in others discovering, developing, or commercializing competing products before or more successfully than we do.</w:t>
      </w:r>
    </w:p>
    <w:p>
      <w:pPr>
        <w:spacing w:after="0" w:line="64" w:lineRule="exact"/>
        <w:rPr>
          <w:rFonts w:ascii="Arial" w:cs="Arial" w:eastAsia="Arial" w:hAnsi="Arial"/>
          <w:sz w:val="20"/>
          <w:szCs w:val="20"/>
          <w:color w:val="231F20"/>
        </w:rPr>
      </w:pPr>
    </w:p>
    <w:p>
      <w:pPr>
        <w:ind w:left="490" w:hanging="490"/>
        <w:spacing w:after="0"/>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limited operating history may make it difficult to evaluate our prospects and likelihood of success.</w:t>
      </w:r>
    </w:p>
    <w:p>
      <w:pPr>
        <w:spacing w:after="0" w:line="133" w:lineRule="exact"/>
        <w:rPr>
          <w:rFonts w:ascii="Arial" w:cs="Arial" w:eastAsia="Arial" w:hAnsi="Arial"/>
          <w:sz w:val="20"/>
          <w:szCs w:val="20"/>
          <w:color w:val="231F20"/>
        </w:rPr>
      </w:pPr>
    </w:p>
    <w:p>
      <w:pPr>
        <w:ind w:left="490" w:right="320" w:hanging="490"/>
        <w:spacing w:after="0" w:line="252" w:lineRule="auto"/>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the third parties upon whom we depend may be adversely affected by natural disasters,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spacing w:after="0" w:line="87" w:lineRule="exact"/>
        <w:rPr>
          <w:rFonts w:ascii="Arial" w:cs="Arial" w:eastAsia="Arial" w:hAnsi="Arial"/>
          <w:sz w:val="20"/>
          <w:szCs w:val="20"/>
          <w:color w:val="231F20"/>
        </w:rPr>
      </w:pPr>
    </w:p>
    <w:p>
      <w:pPr>
        <w:ind w:left="490" w:hanging="490"/>
        <w:spacing w:after="0"/>
        <w:tabs>
          <w:tab w:leader="none" w:pos="49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and economic conditions may negatively impact our business, financial condition, and share price.</w:t>
      </w:r>
    </w:p>
    <w:p>
      <w:pPr>
        <w:sectPr>
          <w:pgSz w:w="11880" w:h="15480" w:orient="portrait"/>
          <w:cols w:equalWidth="0" w:num="1">
            <w:col w:w="10310"/>
          </w:cols>
          <w:pgMar w:left="103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70"/>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310"/>
          </w:cols>
          <w:pgMar w:left="1030" w:top="764" w:right="540"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 drugs to clinical practice, enabling us to repair cells in the body when possible and replace them when needed. We have developed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to revolutionize treatment across a broad array of therapeutic areas with unmet treatment needs, including type 1 diabetes, oncology, and B cell mediated autoimmune diseases.</w:t>
      </w:r>
    </w:p>
    <w:p>
      <w:pPr>
        <w:spacing w:after="0" w:line="20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For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platform, we have made focused investments in our hypoimmune platform technology, which we refer to as our HIP technology, with the twin goals of engineering allogeneic cells that can "hide" from the patient's immune system to overcome the fundamental challenge of immune rejection and cell persistence and that we can manufacture at scale. A successful therapeutic requires cells that can engraft, function, and persist in the body, and we believe our approach can unlock a wave of disruptive therapeutics, starting in type 1 diabetes.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therapies that aim to repair or control genes in the body, a successful product candidate requires both gene modification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delivery of the therapeutic payload. Our initial focus is on cell-specific delivery of genetic payloads, known as chimeric antigen receptors (CARs), to a patient’s T cells, resulting in the generation and proliferation of CAR T cells, which have been shown to deplete a patient’s disease-causing B cells.</w:t>
      </w:r>
    </w:p>
    <w:p>
      <w:pPr>
        <w:spacing w:after="0" w:line="202"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 xml:space="preserve">We are currently focused on advancing two distinct therapeutics, each of which leverages one of these platform technologies. SC451 is our HIP-edited product candidate for the treatment of type 1 diabetes. SG293 is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product candidate for the treatment of B cell malignancies and B cell mediated autoimmune diseases.</w:t>
      </w:r>
    </w:p>
    <w:p>
      <w:pPr>
        <w:spacing w:after="0" w:line="79" w:lineRule="exact"/>
        <w:rPr>
          <w:sz w:val="20"/>
          <w:szCs w:val="20"/>
          <w:color w:val="auto"/>
        </w:rPr>
      </w:pPr>
    </w:p>
    <w:p>
      <w:pPr>
        <w:ind w:left="980" w:hanging="490"/>
        <w:spacing w:after="0" w:line="245"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Type 1 Diabetes</w:t>
      </w:r>
      <w:r>
        <w:rPr>
          <w:rFonts w:ascii="Times New Roman" w:cs="Times New Roman" w:eastAsia="Times New Roman" w:hAnsi="Times New Roman"/>
          <w:sz w:val="20"/>
          <w:szCs w:val="20"/>
          <w:color w:val="231F20"/>
        </w:rPr>
        <w:t>: Almost ten million people suffer from type 1 diabetes (T1D) worldwide, and there has been limited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progress in treatments for this disease since the advent of insulin injections over 100 years ago. We are developing SC451, a HIP-modified, stem cell-derived pancreatic islet cell therapy, for the treatment of T1D. The goal of this therapy is euglycemia, or normal blood glucose, without the need for exogenous insulin injections or immunosuppression. Through a first-in-human investigator-sponsored study (IST), we have shown that UP421, an allogeneic, primary islet cell therapy engineered with our HIP technology, can survive and function for twelve months post-transplant in a patient with T1D without the need for immunosuppression. We have incorporated this HIP technology into a more scalable manufacturing platform with SC451 and expect to file an investigational new drug application (IND) as well as begin a Phase 1 clinical trial for this therapy as early as this year.</w:t>
      </w:r>
    </w:p>
    <w:p>
      <w:pPr>
        <w:spacing w:after="0" w:line="90" w:lineRule="exact"/>
        <w:rPr>
          <w:rFonts w:ascii="Arial" w:cs="Arial" w:eastAsia="Arial" w:hAnsi="Arial"/>
          <w:sz w:val="20"/>
          <w:szCs w:val="20"/>
          <w:color w:val="231F20"/>
        </w:rPr>
      </w:pPr>
    </w:p>
    <w:p>
      <w:pPr>
        <w:ind w:left="980" w:right="40" w:hanging="490"/>
        <w:spacing w:after="0" w:line="245"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In vivo </w:t>
      </w:r>
      <w:r>
        <w:rPr>
          <w:rFonts w:ascii="Times New Roman" w:cs="Times New Roman" w:eastAsia="Times New Roman" w:hAnsi="Times New Roman"/>
          <w:sz w:val="20"/>
          <w:szCs w:val="20"/>
          <w:b w:val="1"/>
          <w:bCs w:val="1"/>
          <w:color w:val="231F20"/>
        </w:rPr>
        <w:t>CAR T cells</w:t>
      </w:r>
      <w:r>
        <w:rPr>
          <w:rFonts w:ascii="Times New Roman" w:cs="Times New Roman" w:eastAsia="Times New Roman" w:hAnsi="Times New Roman"/>
          <w:sz w:val="20"/>
          <w:szCs w:val="20"/>
          <w:color w:val="231F20"/>
        </w:rPr>
        <w:t>: Using our fusogen platform, which enables cell-specific,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delivery of various payloads,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are developing SG293, a CD8-targeted fusosome. SG293 delivers genetic material to CD8+ T cells, which enables them to become CD19-targeting CAR T cells while avoiding potentially problematic delivery to tissues such as the liver and gonads.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cells have the potential to provide the clinical benefit of autologous,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manufactured CAR T cells while avoiding the need for lymphodepleting chemotherapy as well as significant complexity and delays related to manufacturing. SG293 builds on data from our prior lead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product candidate, SG299. We plan to develop SG293 in a range of B cell cancers and B cell mediated autoimmune diseases and expect to generate initial clinical data as early as this year.</w:t>
      </w:r>
    </w:p>
    <w:p>
      <w:pPr>
        <w:spacing w:after="0" w:line="20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SC451 is our lead program for T1D. T1D is a disease in which the patient’s immune system attacks and kills the patient’s pancreatic beta cells, the only cells in the human body that make insulin, leading to a complete loss of insulin production in affected individuals. Insulin is essential for normal cellular metabolism, and prior to the discovery of insulin replacement therapy over 100 years ago, a person typically died within months of diagnosis. Insulin therapy has meaningfully improved patient outcomes, but even with state-of-the-art medical care and technology and glucose control, a person with T1D will live approximately a decade less than somebody without the disease and have a significant treatment burden for life. In contrast, our goal is to develop a one-time treatment that leads to normal blood glucose with no insulin injections and no immunosuppression, in an effort to restore the patient to a life similar to that from before the T1D diagnosis. Pancreatic islets are comprised of pancreatic beta cells and other endocrine cells. Scientists have shown that transplanted pancreatic islets can allow patients to come off insulin and maintain normal blood glucose. These islets can be obtained from deceased donors or derived from stem cells. However, the impact of these therapies has been limited, as patients must remain on life-long systemic immunosuppression to prevent the patient’s immune system from rejecting these transplanted cells. The potential complications of immunosuppression, which include increased susceptibility to infection, heightened cancer risk, cardiovascular disease, metabolic syndrome, chronic kidney disease, and osteoporosis, outweigh the potential benefits of these treatments in most patients.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800"/>
          </w:cols>
          <w:pgMar w:left="540" w:top="746" w:right="540" w:bottom="0" w:gutter="0" w:footer="0" w:header="0"/>
          <w:type w:val="continuous"/>
        </w:sectPr>
      </w:pPr>
    </w:p>
    <w:bookmarkStart w:id="11" w:name="page12"/>
    <w:bookmarkEnd w:id="11"/>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Our HIP technology is designed to hide transplanted cells from immune recognition and rejection. In addition to extensive pre-clinical testing, the ability of our HIP technology to hide transplanted pancreatic islets from immune recognition and rejection has been demonstrated in a human.</w:t>
      </w:r>
    </w:p>
    <w:p>
      <w:pPr>
        <w:spacing w:after="0" w:line="18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In December 2024, UP421, a HIP-modified allogeneic primary islet cell therapy, was transplanted into a patient with T1D in an IST conducted at Uppsala University Hospital. This study evaluates the safety of UP421 when transplanted intramuscularly into a patient with T1D. Secondary endpoints include immune evasion, non-fasting C-peptide concentrations in peripheral blood, C-peptide response to a mixed meal tolerance test (MMTT), and graft survival assessed by magnetic resonance imaging (MRI) and Positron Emission Tomography (PET/MRI). Pancreatic beta cells produce pro-insulin, which is cleaved and secreted as insulin and C-peptide in a 1:1 ratio, making C-peptide a well-established biomarker of endogenous insulin production. The 42-year-old recipient, who had been living with T1D for over 30 years, received a single transplant of UP421 into the muscle of the forearm. The transplantation was performed without immunosuppression, steroids, or any supportive medication to facilitate allogeneic cell survival. As a first-in - human study, the primary endpoint was safety, and the dose was approximately 7% of islet cells that would typically be needed for insulin independence.</w:t>
      </w:r>
    </w:p>
    <w:p>
      <w:pPr>
        <w:spacing w:after="0" w:line="20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January 2025, we announced positive results from the IST at four weeks after cell transplantation, which demonstrated the survival and function of pancreatic beta cells as measured by the presence of circulating C-peptide. In September 2025, 12-week data from the IST were published in </w:t>
      </w:r>
      <w:r>
        <w:rPr>
          <w:rFonts w:ascii="Times New Roman" w:cs="Times New Roman" w:eastAsia="Times New Roman" w:hAnsi="Times New Roman"/>
          <w:sz w:val="20"/>
          <w:szCs w:val="20"/>
          <w:i w:val="1"/>
          <w:iCs w:val="1"/>
          <w:color w:val="231F20"/>
        </w:rPr>
        <w:t>The New England Journal of Medicine</w:t>
      </w:r>
      <w:r>
        <w:rPr>
          <w:rFonts w:ascii="Times New Roman" w:cs="Times New Roman" w:eastAsia="Times New Roman" w:hAnsi="Times New Roman"/>
          <w:sz w:val="20"/>
          <w:szCs w:val="20"/>
          <w:color w:val="231F20"/>
        </w:rPr>
        <w:t>. In addition, we recently reported that at 12 months following transplantation, the UP421 first-in-human study continues to demonstrate durable safety, survival, and function of the transplanted HIP-modified primary islet cells. The primary endpoint of safety was achieved, with no drug product-related adverse events reported. Prior to transplant, C-peptide levels were undetectable both in the non-fasting state and in response to an MMTT. Results of the study through twelve months following transplantation demonstrate the survival and function of pancreatic beta cells as measured by the presence of circulating C-peptide. C-peptide levels also increased with an MMTT during testing at these timepoints, consistent with insulin secretion in response to a meal. PET/MRI imaging results at 12 weeks and 12 months are consistent with pancreatic beta cell survival and function in the forearm muscle of the patient.</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The UP421 drug product contains a mixture of islet cell populations: wild-type (WT) islet cells expressing HLA class I and class II, double knockout (DKO) islet cells with HLA class I and class II eliminated, and HIP islet cells with both HLA class I and class II eliminated plus CD47 overexpression. We performed assays testing the patient’s various immune cell responses to these different populations of cells in the drug product. Consistent with expectations post-transplantation of allogeneic tissue, WT islet cells triggered a robust immune response with T cell-mediated killing and development of donor-specific antibodies. DKO islet cells, while avoiding T cell activation and antibody responses, were rapidly eliminated by natural killer (NK) cells. In contrast, HIP islet cells demonstrated comprehensive immune evasion, with no evidence of T cell activation, donor-specific antibody development, or NK cell-mediated killing. These distinct immune responses were further validated in whole blood assays, in which HIP islet cells survived exposure to the patient's peripheral blood mononuclear cells (PBMCs) while both WT and DKO islet cells were eliminated. These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assay results are consistent throughout the 52 weeks of the study to date. For additional information on the genetic modifications discussed above, see the sections titled “Background on Immunological Barriers to ex vivo Therapies and Current Limitations,” “Our Solution – Hypoimmune Technology,” and “Designing Hypoimmune Cells” below.</w:t>
      </w:r>
    </w:p>
    <w:p>
      <w:pPr>
        <w:spacing w:after="0" w:line="20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To our knowledge, this study is the first example of successful transplantation with no immunosuppression into a person with an intact immune system to demonstrate survival and function of allogeneic cells. We believe these results with HIP-modified cells represent a significant milestone for the field of cell therapy. These cells not only had to overcome the typical rejection of allogeneic cells, they also needed to overcome the pre-existing autoimmune response to pancreatic beta cells. The results are a key landmark in our effort to develop SC451, our HIP modified stem cell-derived pancreatic islet cell product candidate, as an off-the-shelf cell therapy for patients with T1D.</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UP421 is derived from the cells of a deceased donor. In contrast, SC451 is derived from stem cells and is therefore more amenable to commercial scale. We have made meaningful progress with SC451 over the past year. We have completed manufacture of our gene-modified stem cell master cell bank, begun tech transfer of our Phase 1 manufacturing process to our partner contract manufacturers, continued our necessary preclinical tests, and met with regulators in various parts of the world. We expect to submit an IND for SC451 and begin our Phase 1 trial as early as this year.</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With respect to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research efforts, we have advanced from our earlier SG299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candidate to an improved next-generation product candidate, SG293, both of which use our proprietary fusogen-based delivery platform. In January 2026, we shared data from a preclinical study using a surrogate for SG293 that delivers a CD20 CAR capable of targeting non-human primate (NHP) B cells in </w:t>
      </w:r>
      <w:r>
        <w:rPr>
          <w:rFonts w:ascii="Times New Roman" w:cs="Times New Roman" w:eastAsia="Times New Roman" w:hAnsi="Times New Roman"/>
          <w:sz w:val="20"/>
          <w:szCs w:val="20"/>
          <w:i w:val="1"/>
          <w:iCs w:val="1"/>
          <w:color w:val="231F20"/>
        </w:rPr>
        <w:t>cynomolgus</w:t>
      </w:r>
      <w:r>
        <w:rPr>
          <w:rFonts w:ascii="Times New Roman" w:cs="Times New Roman" w:eastAsia="Times New Roman" w:hAnsi="Times New Roman"/>
          <w:sz w:val="20"/>
          <w:szCs w:val="20"/>
          <w:color w:val="231F20"/>
        </w:rPr>
        <w:t xml:space="preserve"> macaques. No lymphodepletion was administered to the NHPs in this study. A single intravenous injection of the SG293 surrogate to these NHPs resulted in robust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generation of CAR T cells and deep B cell depletion in the peripheral blood and lymph nodes. The B cell depletion was further confirmed by lymph node biopsies showing clearance of B cells as well as by “reset” of the NHPs’ B cell repertoire toward naïve B cells. We believe that deep B cell depletion in</w:t>
      </w:r>
    </w:p>
    <w:p>
      <w:pPr>
        <w:sectPr>
          <w:pgSz w:w="11880" w:h="15480" w:orient="portrait"/>
          <w:cols w:equalWidth="0" w:num="1">
            <w:col w:w="10800"/>
          </w:cols>
          <w:pgMar w:left="540" w:top="750" w:right="540" w:bottom="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800"/>
          </w:cols>
          <w:pgMar w:left="540" w:top="750" w:right="540" w:bottom="0" w:gutter="0" w:footer="0" w:header="0"/>
          <w:type w:val="continuous"/>
        </w:sectPr>
      </w:pPr>
    </w:p>
    <w:bookmarkStart w:id="12" w:name="page13"/>
    <w:bookmarkEnd w:id="12"/>
    <w:p>
      <w:pPr>
        <w:spacing w:after="0" w:line="249" w:lineRule="auto"/>
        <w:rPr>
          <w:sz w:val="20"/>
          <w:szCs w:val="20"/>
          <w:color w:val="auto"/>
        </w:rPr>
      </w:pPr>
      <w:r>
        <w:rPr>
          <w:rFonts w:ascii="Times New Roman" w:cs="Times New Roman" w:eastAsia="Times New Roman" w:hAnsi="Times New Roman"/>
          <w:sz w:val="20"/>
          <w:szCs w:val="20"/>
          <w:color w:val="231F20"/>
        </w:rPr>
        <w:t xml:space="preserve">this preclinical model is the most significant biomarker for potential efficacy in patients with B cell cancers and B cell mediated autoimmune diseases. Separately,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studies using SG293 have shown selective gene delivery to CD8+ T cells with minimal or undetectable off-target transduction in tissues such as the liver and gonadal tissue, supporting the specificity of SG293. We continue to evaluate SG293 preclinically, and we intend to begin clinical testing and generate early clinical data with SG293 in certain B cell cancers as early as this year. For additional information, see the section titled “T Cell-Targeted Fusosome Approach” below.</w:t>
      </w:r>
    </w:p>
    <w:p>
      <w:pPr>
        <w:spacing w:after="0" w:line="19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Previously, we were also pursuing programs in the field of HIP-edited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CAR T therapy. However, in order to prioritize development of our SC451 and SG293 programs, in November 2025, we announced our decision to suspend development of our allogeneic CAR T programs, including SC291 and SC262, and to halt further enrollment in the Phase 1 GLEAM and VIVID trials of these candidates. While the allogeneic CAR T programs increased our confidence in our HIP platform, we believe the impact we can have for patients and shareholders is now greater with increased focus on SC451 and SG293.</w:t>
      </w:r>
    </w:p>
    <w:p>
      <w:pPr>
        <w:spacing w:after="0" w:line="19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Our people are the most important strength of the company and our capabilities enable us to take a comprehensive approach to the most important and difficult aspects of engineering cells. We believe we can capitalize on the shared expertise and infrastructure between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to maximize the potential success and reach of each of our potentially transformative therapies. We have built significant internal capabilities across a wide range of areas focused on solving the most critical limitations in engineering cells including:</w:t>
      </w:r>
    </w:p>
    <w:p>
      <w:pPr>
        <w:spacing w:after="0" w:line="128" w:lineRule="exact"/>
        <w:rPr>
          <w:sz w:val="20"/>
          <w:szCs w:val="20"/>
          <w:color w:val="auto"/>
        </w:rPr>
      </w:pPr>
    </w:p>
    <w:p>
      <w:pPr>
        <w:ind w:left="980" w:right="220" w:hanging="490"/>
        <w:spacing w:after="0" w:line="238" w:lineRule="auto"/>
        <w:tabs>
          <w:tab w:leader="none" w:pos="980" w:val="left"/>
        </w:tabs>
        <w:numPr>
          <w:ilvl w:val="0"/>
          <w:numId w:val="10"/>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Stem Cell and Disease Biology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Developing our platforms into therapies for patients requires a deep understanding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both cell and disease biology. Furthermore, we are investing significantly in our people and the technologies that enable the differentiation of pluripotent stem cells (PSCs) into mature cells that can be used as therapeutics.</w:t>
      </w:r>
    </w:p>
    <w:p>
      <w:pPr>
        <w:spacing w:after="0" w:line="134" w:lineRule="exact"/>
        <w:rPr>
          <w:rFonts w:ascii="Arial" w:cs="Arial" w:eastAsia="Arial" w:hAnsi="Arial"/>
          <w:sz w:val="24"/>
          <w:szCs w:val="24"/>
          <w:color w:val="231F20"/>
        </w:rPr>
      </w:pPr>
    </w:p>
    <w:p>
      <w:pPr>
        <w:ind w:left="980" w:right="20" w:hanging="490"/>
        <w:spacing w:after="0" w:line="239" w:lineRule="auto"/>
        <w:tabs>
          <w:tab w:leader="none" w:pos="980" w:val="left"/>
        </w:tabs>
        <w:numPr>
          <w:ilvl w:val="0"/>
          <w:numId w:val="10"/>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Immunology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immune system can be harnessed to treat multiple diseases, and it can also limit the therapeutic effect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of many cell- and gene-based therapies. Understanding and harnessing the immune system can have a broad impact across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portfolio. Our hypoimmune technology has the potential to “hide” cells from the immune system, unlocking the potential of allogeneic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therapies for the treatment of numerous diseases We are also investing in our people and technologies to harness the immune system, particularly T cells, for the treatment cancer and autoimmune diseases.</w:t>
      </w:r>
    </w:p>
    <w:p>
      <w:pPr>
        <w:spacing w:after="0" w:line="134" w:lineRule="exact"/>
        <w:rPr>
          <w:rFonts w:ascii="Arial" w:cs="Arial" w:eastAsia="Arial" w:hAnsi="Arial"/>
          <w:sz w:val="24"/>
          <w:szCs w:val="24"/>
          <w:color w:val="231F20"/>
        </w:rPr>
      </w:pPr>
    </w:p>
    <w:p>
      <w:pPr>
        <w:ind w:left="980" w:right="280" w:hanging="490"/>
        <w:spacing w:after="0" w:line="238" w:lineRule="auto"/>
        <w:tabs>
          <w:tab w:leader="none" w:pos="980" w:val="left"/>
        </w:tabs>
        <w:numPr>
          <w:ilvl w:val="0"/>
          <w:numId w:val="10"/>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Genome Modification</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ability to knock-out, knock-in, modify, disrupt, and control expression of genes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fundamental to the success of our platforms. We believe our capabilities across multiple modalities will allow us to use the appropriate system for the biologic problem of interest.</w:t>
      </w:r>
    </w:p>
    <w:p>
      <w:pPr>
        <w:spacing w:after="0" w:line="134" w:lineRule="exact"/>
        <w:rPr>
          <w:rFonts w:ascii="Arial" w:cs="Arial" w:eastAsia="Arial" w:hAnsi="Arial"/>
          <w:sz w:val="24"/>
          <w:szCs w:val="24"/>
          <w:color w:val="231F20"/>
        </w:rPr>
      </w:pPr>
    </w:p>
    <w:p>
      <w:pPr>
        <w:ind w:left="980" w:right="180" w:hanging="490"/>
        <w:spacing w:after="0" w:line="238" w:lineRule="auto"/>
        <w:tabs>
          <w:tab w:leader="none" w:pos="980" w:val="left"/>
        </w:tabs>
        <w:numPr>
          <w:ilvl w:val="0"/>
          <w:numId w:val="10"/>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Gene Delivery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We believe our delivery technologies have broad potential, with both near-term and long-term</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applications across a number of indications. We are investing in technologies that allow payload delivery to specific cell types and to increase the diversity of payloads.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ex vivo and in vivo Cell Engineering Platforms</w:t>
      </w:r>
    </w:p>
    <w:p>
      <w:pPr>
        <w:spacing w:after="0" w:line="12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The advent of recombinant DNA technology in the 1970s ushered in a new era of therapeutics, enabling the synthetic manufacture of human protein therapies at scale for the first time. A critical inflection point occurred when key technological advancements eventually enabled the broad development and manufacturing of protein drugs, including monoclonal antibodies with suitable therapeutic properties. These advancements, combined with progress in understanding disease biology, allowed biologics to become the second largest therapeutic class. We believe engineered cells are at a similar inflection point, with key recent technological advancements providing the potential for the broad applicability of this therapeutic class.</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Ex vivo Cell Engineering</w:t>
      </w:r>
    </w:p>
    <w:p>
      <w:pPr>
        <w:spacing w:after="0" w:line="118"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Engineering cells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requires the ability to engineer and manufacture cells at scale and then deliver them to the patient so that they engraft, function appropriately, and have the necessary persistence in the body. Our goal for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is to replace or add cells in the body such that those cells engraft, function, and persist over time, and to manufacture those cells cost-effectively at scale.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uses our hypoimmune technology to create cells that can “hide” from the patient’s immune system to enable persistence of allogeneic cells. We are focused on making therapies using PSCs with our hypoimmune genetic modifications as the starting material, which we then differentiate into a specific cell type, such as a pancreatic islet cell, before treating the patient. Our goal is to manufacture genetically modified cells that are capable of both replacing the missing cell and evading the patient’s immune system. While SC451 is our primary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candidate, we intend to apply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technologies to make cell products for the treatment of multiple diseases.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800"/>
          </w:cols>
          <w:pgMar w:left="540" w:top="750" w:right="540" w:bottom="0" w:gutter="0" w:footer="0" w:header="0"/>
          <w:type w:val="continuous"/>
        </w:sectPr>
      </w:pPr>
    </w:p>
    <w:bookmarkStart w:id="13" w:name="page14"/>
    <w:bookmarkEnd w:id="13"/>
    <w:p>
      <w:pPr>
        <w:ind w:left="500"/>
        <w:spacing w:after="0"/>
        <w:rPr>
          <w:sz w:val="20"/>
          <w:szCs w:val="20"/>
          <w:color w:val="auto"/>
        </w:rPr>
      </w:pPr>
      <w:r>
        <w:rPr>
          <w:rFonts w:ascii="Times New Roman" w:cs="Times New Roman" w:eastAsia="Times New Roman" w:hAnsi="Times New Roman"/>
          <w:sz w:val="20"/>
          <w:szCs w:val="20"/>
          <w:i w:val="1"/>
          <w:iCs w:val="1"/>
          <w:color w:val="231F20"/>
        </w:rPr>
        <w:t>In vivo Cell Engineering</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Engineering cells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requires the development of both an appropriate delivery vector as well as a payload to effectively modify the target cell. Our goal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is to repair and control the genes of any cell in the body. The ultimate aim is to achieve delivery of any payload, to any cell, in a specific and repeatable way. We believe that progress in any of these categories can allow us to make important medicines.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 harnesses fusogen technology, which targets cell surface receptors, enabling cell-specific delivery for a meaningful number of different cell types. We have shown in preclinical studies that our fusogen technology can specifically target numerous cell surface receptors that, when combined with delivery vehicles to form fusosomes, allow cell-specific delivery across multiple different cell types.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Portfolio Strategy</w:t>
      </w:r>
    </w:p>
    <w:p>
      <w:pPr>
        <w:spacing w:after="0" w:line="12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We believe the potential applications of our platforms are vast. To prioritize programs for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engineering pipeline, we have used the following strategies:</w:t>
      </w:r>
    </w:p>
    <w:p>
      <w:pPr>
        <w:spacing w:after="0" w:line="104" w:lineRule="exact"/>
        <w:rPr>
          <w:sz w:val="20"/>
          <w:szCs w:val="20"/>
          <w:color w:val="auto"/>
        </w:rPr>
      </w:pPr>
    </w:p>
    <w:p>
      <w:pPr>
        <w:ind w:left="980" w:right="460" w:hanging="490"/>
        <w:spacing w:after="0" w:line="235" w:lineRule="auto"/>
        <w:tabs>
          <w:tab w:leader="none" w:pos="980" w:val="left"/>
        </w:tabs>
        <w:numPr>
          <w:ilvl w:val="0"/>
          <w:numId w:val="11"/>
        </w:numPr>
        <w:rPr>
          <w:rFonts w:ascii="Arial" w:cs="Arial" w:eastAsia="Arial" w:hAnsi="Arial"/>
          <w:sz w:val="24"/>
          <w:szCs w:val="24"/>
          <w:color w:val="231F20"/>
        </w:rPr>
      </w:pPr>
      <w:r>
        <w:rPr>
          <w:rFonts w:ascii="Times New Roman" w:cs="Times New Roman" w:eastAsia="Times New Roman" w:hAnsi="Times New Roman"/>
          <w:sz w:val="20"/>
          <w:szCs w:val="20"/>
          <w:color w:val="231F20"/>
        </w:rPr>
        <w:t>minimize biology risk where there is platform risk, or in other words, prioritize opportunities where success with our platform should lead to success in addressing the underlying disease;</w:t>
      </w:r>
    </w:p>
    <w:p>
      <w:pPr>
        <w:spacing w:after="0" w:line="139" w:lineRule="exact"/>
        <w:rPr>
          <w:rFonts w:ascii="Arial" w:cs="Arial" w:eastAsia="Arial" w:hAnsi="Arial"/>
          <w:sz w:val="24"/>
          <w:szCs w:val="24"/>
          <w:color w:val="231F20"/>
        </w:rPr>
      </w:pPr>
    </w:p>
    <w:p>
      <w:pPr>
        <w:ind w:left="980" w:right="280" w:hanging="490"/>
        <w:spacing w:after="0" w:line="235" w:lineRule="auto"/>
        <w:tabs>
          <w:tab w:leader="none" w:pos="980" w:val="left"/>
        </w:tabs>
        <w:numPr>
          <w:ilvl w:val="0"/>
          <w:numId w:val="11"/>
        </w:numPr>
        <w:rPr>
          <w:rFonts w:ascii="Arial" w:cs="Arial" w:eastAsia="Arial" w:hAnsi="Arial"/>
          <w:sz w:val="24"/>
          <w:szCs w:val="24"/>
          <w:color w:val="231F20"/>
        </w:rPr>
      </w:pPr>
      <w:r>
        <w:rPr>
          <w:rFonts w:ascii="Times New Roman" w:cs="Times New Roman" w:eastAsia="Times New Roman" w:hAnsi="Times New Roman"/>
          <w:sz w:val="20"/>
          <w:szCs w:val="20"/>
          <w:color w:val="231F20"/>
        </w:rPr>
        <w:t xml:space="preserve">prioritize program investments in diseases where the strengths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can address the key limitations of existing therapeutic approaches;</w:t>
      </w:r>
    </w:p>
    <w:p>
      <w:pPr>
        <w:spacing w:after="0" w:line="129" w:lineRule="exact"/>
        <w:rPr>
          <w:rFonts w:ascii="Arial" w:cs="Arial" w:eastAsia="Arial" w:hAnsi="Arial"/>
          <w:sz w:val="24"/>
          <w:szCs w:val="24"/>
          <w:color w:val="231F20"/>
        </w:rPr>
      </w:pPr>
    </w:p>
    <w:p>
      <w:pPr>
        <w:ind w:left="980" w:hanging="490"/>
        <w:spacing w:after="0"/>
        <w:tabs>
          <w:tab w:leader="none" w:pos="980" w:val="left"/>
        </w:tabs>
        <w:numPr>
          <w:ilvl w:val="0"/>
          <w:numId w:val="11"/>
        </w:numPr>
        <w:rPr>
          <w:rFonts w:ascii="Arial" w:cs="Arial" w:eastAsia="Arial" w:hAnsi="Arial"/>
          <w:sz w:val="24"/>
          <w:szCs w:val="24"/>
          <w:color w:val="231F20"/>
        </w:rPr>
      </w:pPr>
      <w:r>
        <w:rPr>
          <w:rFonts w:ascii="Times New Roman" w:cs="Times New Roman" w:eastAsia="Times New Roman" w:hAnsi="Times New Roman"/>
          <w:sz w:val="20"/>
          <w:szCs w:val="20"/>
          <w:color w:val="231F20"/>
        </w:rPr>
        <w:t>focus on conditions of high unmet need, including the most grievous diseases; and</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11"/>
        </w:numPr>
        <w:rPr>
          <w:rFonts w:ascii="Arial" w:cs="Arial" w:eastAsia="Arial" w:hAnsi="Arial"/>
          <w:sz w:val="24"/>
          <w:szCs w:val="24"/>
          <w:color w:val="231F20"/>
        </w:rPr>
      </w:pPr>
      <w:r>
        <w:rPr>
          <w:rFonts w:ascii="Times New Roman" w:cs="Times New Roman" w:eastAsia="Times New Roman" w:hAnsi="Times New Roman"/>
          <w:sz w:val="20"/>
          <w:szCs w:val="20"/>
          <w:color w:val="231F20"/>
        </w:rPr>
        <w:t>prioritize efforts where success in one area begets success in others.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Pipeline</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We are currently focused on advancing our pipeline across two platforms for the treatment of various significant disease types, including type 1 diabetes, B cell cancers, and B cell mediated autoimmune diseases. We retain worldwide rights to each of the product candidates described below.</w:t>
      </w:r>
    </w:p>
    <w:p>
      <w:pPr>
        <w:spacing w:after="0" w:line="188"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Each of our programs provides the potential for meaningful standalone value while also supporting our potential ability to further exploit our platforms in a manner that leads to the development of broadly applicable medicines.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iPSC-derived HIP Pancreatic Islet Cells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SC451</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SC451 is our induced PSC (iPSC)-derived hypoimmune pancreatic islet cell product candidate for the treatment of diabetes, with an initial focus on T1D. Almost ten million patients worldwide have T1D, a disease in which a patient’s immune system attacks and kills pancreatic beta cells, leading to complete loss of insulin production in affected individuals. T1D patients typically need to take multiple insulin injections and monitor their blood glucose every day for life. Although the introduction of insulin has had a profoundly positive impact on patients and there has been significant improvement in convenience for patients over the past several decades with the introduction of insulin pumps and continuous glucose monitors, people with T1D have approximately 15 years shorter life expectancies than people without diabetes and are consistently at risk for complications such as coma, stroke, myocardial infarction, kidney failure, and blindness from poorly-controlled blood glucose. Even for patients with access to state-of-the-art medical care and who are able to tightly control blood glucose through access to automated insulin delivery systems, life expectancy is approximately a decade shorter than for those without the disease.</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Previous results from others have shown that either primary or PSC-derived pancreatic islets, when given with significant immunosuppression, can allow patients to control blood glucose without the need for insulin therapy. Based on our human clinical data and preclinical HIP data, we believe that our HIP-modified pancreatic islets should achieve the same outcome without the risks of immunosuppression.</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We have shown that we can develop high-quality stem cell-derived islet cells that, when transplanted in animal models, normalize blood glucose and cure diabetes. The UP421 IST has shown that our hypoimmune cells induce no systemic immune response, survive, and function in a person with T1D. We are combining these capabilities and learnings into SC451 in a single product candidate that is derived from an O-negative, GMP- compliant iPSC master cell line. These human data are supported by preclinical data in several models, including in NHPs with a pre-existing immune response to non-hypoimmune cells and in a diabetic NHP, where allogeneic, HIP-modified NHP pancreatic islet cells survive and function for the duration of our NHP studies, the longest of which is about forty weeks. To demonstrate applicability in the context of the autoimmunity seen in people with T1D, we</w:t>
      </w:r>
    </w:p>
    <w:p>
      <w:pPr>
        <w:sectPr>
          <w:pgSz w:w="11880" w:h="15480" w:orient="portrait"/>
          <w:cols w:equalWidth="0" w:num="1">
            <w:col w:w="10800"/>
          </w:cols>
          <w:pgMar w:left="540" w:top="752" w:right="540"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800"/>
          </w:cols>
          <w:pgMar w:left="540" w:top="752" w:right="540" w:bottom="0" w:gutter="0" w:footer="0" w:header="0"/>
          <w:type w:val="continuous"/>
        </w:sectPr>
      </w:pPr>
    </w:p>
    <w:bookmarkStart w:id="14" w:name="page15"/>
    <w:bookmarkEnd w:id="14"/>
    <w:p>
      <w:pPr>
        <w:ind w:right="280"/>
        <w:spacing w:after="0" w:line="249" w:lineRule="auto"/>
        <w:rPr>
          <w:sz w:val="20"/>
          <w:szCs w:val="20"/>
          <w:color w:val="auto"/>
        </w:rPr>
      </w:pPr>
      <w:r>
        <w:rPr>
          <w:rFonts w:ascii="Times New Roman" w:cs="Times New Roman" w:eastAsia="Times New Roman" w:hAnsi="Times New Roman"/>
          <w:sz w:val="20"/>
          <w:szCs w:val="20"/>
          <w:color w:val="231F20"/>
        </w:rPr>
        <w:t>developed a proprietary mouse model in -house with human immune cells from a T1D patient. In this model, we showed that HIP modifications enabled stem cell-derived pancreatic islet cells derived from a patient with T1D to evade the autoimmune immune response, survive, and function for the duration of the study. Combined, we believe that these studies preclinically validate that our HIP technology can allow transplanted cells to evade both the allogeneic rejection typical with transplantation as well as the autoimmune rejection typical of T1D.</w:t>
      </w:r>
    </w:p>
    <w:p>
      <w:pPr>
        <w:spacing w:after="0" w:line="197" w:lineRule="exact"/>
        <w:rPr>
          <w:sz w:val="20"/>
          <w:szCs w:val="20"/>
          <w:color w:val="auto"/>
        </w:rPr>
      </w:pPr>
    </w:p>
    <w:p>
      <w:pPr>
        <w:ind w:right="480" w:firstLine="490"/>
        <w:spacing w:after="0" w:line="258" w:lineRule="auto"/>
        <w:rPr>
          <w:sz w:val="20"/>
          <w:szCs w:val="20"/>
          <w:color w:val="auto"/>
        </w:rPr>
      </w:pPr>
      <w:r>
        <w:rPr>
          <w:rFonts w:ascii="Times New Roman" w:cs="Times New Roman" w:eastAsia="Times New Roman" w:hAnsi="Times New Roman"/>
          <w:sz w:val="20"/>
          <w:szCs w:val="20"/>
          <w:color w:val="231F20"/>
        </w:rPr>
        <w:t>We believe our HIP-modified, iPSC-derived pancreatic islets have the potential to create a disruptive treatment for T1D, offering patients long-term normal blood glucose without immunosuppression. We plan to submit an IND and begin our Phase 1 clinical study as early as this year.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HIP Primary Islet Cells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UP421</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UP421 is a HIP-modified allogeneic primary islet cell therapy that was first transplanted, with no concomitant immunosuppression, into a patient with T1D in December 2024 in an IST being conducted at Uppsala University Hospital. This Phase 1 trial has a primary endpoint of safety and also evaluates secondary endpoints, including survival and function of the islet cells. The safety data, secondary endpoints, dosing rationale, clinical outcomes, and immune analysis from the treated patient are discussed below in the section titled “Pancreatic Islet Cell Program.”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 vivo CD19-Directed CAR T Cells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SG293</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pipeline has advanced beyond our earlier constructs, such as SG299, to our next-generation product candidate, SG293, which leverages our proprietary fusogen delivery platform to enable direct, in-patient generation of CAR T cells. SG293 uses a CD8-targeted fusogen to deliver a CD19-directed CAR to CD8+ T cells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and is being developed for the treatment of B cell cancers and B cell mediated autoimmune diseases. The goal of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platform is to expand the CAR T therapy access to patients and improve the overall safety profile of this therapy while maintaining or improving the efficacy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manufactured, autologous CAR T cell therapies. As an example, the effectiveness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-manufactured CAR T cells currently depends on the administration of a lymphodepleting chemotherapy preparative regimen prior to infusion to facilitate expansion of the CAR T cell product post-infusion, and this chemotherapy often has an adverse safety impact. We do not expect to need a lymphodepleting regimen prior to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delivery of the CAR gene via fusosome, and in fact believe that it would be detrimental to our goal of exposing our fusosomes to as many T cells in the body as possible. We also believe the ability to deliver a payload encoding a CAR to a T cell without significant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manipulation has the potential to be more effective and potent than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-manufactured CAR T cell products, generating therapeutically active CAR T cells without the complexities and delays associated with the processes of T cell collection and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manufacturing that are used in currently approved autologous CAR T cell products. Furthermore, the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expansion of cells in the presence of high cytokine concentrations, although necessary for the manufacture of currently approved CAR T cell products, also contributes to marked changes in T cell quality that may not be therapeutically beneficial. The generation of a CAR T cell within the natural physiological environment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has the potential to improve the quality of the CAR T cell generated, potentially improving both efficacy and the side effect profile. We expect to generate initial human data with SG293 as early as this year.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Our </w:t>
      </w:r>
      <w:r>
        <w:rPr>
          <w:rFonts w:ascii="Times New Roman" w:cs="Times New Roman" w:eastAsia="Times New Roman" w:hAnsi="Times New Roman"/>
          <w:sz w:val="20"/>
          <w:szCs w:val="20"/>
          <w:b w:val="1"/>
          <w:bCs w:val="1"/>
          <w:i w:val="1"/>
          <w:iCs w:val="1"/>
          <w:color w:val="231F20"/>
        </w:rPr>
        <w:t>ex vivo</w:t>
      </w:r>
      <w:r>
        <w:rPr>
          <w:rFonts w:ascii="Times New Roman" w:cs="Times New Roman" w:eastAsia="Times New Roman" w:hAnsi="Times New Roman"/>
          <w:sz w:val="20"/>
          <w:szCs w:val="20"/>
          <w:b w:val="1"/>
          <w:bCs w:val="1"/>
          <w:color w:val="231F20"/>
        </w:rPr>
        <w:t xml:space="preserve"> Cell Engineering Platform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Ex vivo </w:t>
      </w:r>
      <w:r>
        <w:rPr>
          <w:rFonts w:ascii="Times New Roman" w:cs="Times New Roman" w:eastAsia="Times New Roman" w:hAnsi="Times New Roman"/>
          <w:sz w:val="20"/>
          <w:szCs w:val="20"/>
          <w:color w:val="231F20"/>
        </w:rPr>
        <w:t>cell engineering aims to treat human disease by engrafting new cells to replace damaged, diseased, or missing cells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patients. Historically there have been four key challenges to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w:t>
      </w:r>
    </w:p>
    <w:p>
      <w:pPr>
        <w:spacing w:after="0" w:line="94" w:lineRule="exact"/>
        <w:rPr>
          <w:sz w:val="20"/>
          <w:szCs w:val="20"/>
          <w:color w:val="auto"/>
        </w:rPr>
      </w:pPr>
    </w:p>
    <w:p>
      <w:pPr>
        <w:ind w:left="980" w:hanging="490"/>
        <w:spacing w:after="0"/>
        <w:tabs>
          <w:tab w:leader="none" w:pos="98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engraftment of the right cell in the right environment;</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appropriate function of the cells, necessitating an understanding of and ability to produce the desired cell phenotype;</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persistence of the cells in the host, particularly by overcoming immune rejection; and</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12"/>
        </w:numPr>
        <w:rPr>
          <w:rFonts w:ascii="Arial" w:cs="Arial" w:eastAsia="Arial" w:hAnsi="Arial"/>
          <w:sz w:val="24"/>
          <w:szCs w:val="24"/>
          <w:color w:val="231F20"/>
        </w:rPr>
      </w:pPr>
      <w:r>
        <w:rPr>
          <w:rFonts w:ascii="Times New Roman" w:cs="Times New Roman" w:eastAsia="Times New Roman" w:hAnsi="Times New Roman"/>
          <w:sz w:val="20"/>
          <w:szCs w:val="20"/>
          <w:color w:val="231F20"/>
        </w:rPr>
        <w:t>manufacturing the desired cell in the quantities required.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780"/>
          </w:cols>
          <w:pgMar w:left="540" w:top="750" w:right="560" w:bottom="0" w:gutter="0" w:footer="0" w:header="0"/>
          <w:type w:val="continuous"/>
        </w:sectPr>
      </w:pPr>
    </w:p>
    <w:bookmarkStart w:id="15" w:name="page16"/>
    <w:bookmarkEnd w:id="15"/>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seeks to address these four challenges and is focused on engineering hypoimmune cells that engraft, function, and persist in patients by evading immune rejection. These cells are derived from sources that are scalable, and we believe that continued progress with this platform has the potential to create broad access for patients.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Approach to Building Our ex vivo Cell Engineering Platform</w:t>
      </w:r>
    </w:p>
    <w:p>
      <w:pPr>
        <w:spacing w:after="0" w:line="120"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We have approached the development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by investing in solutions to address the key challenges outlined above:</w:t>
      </w:r>
    </w:p>
    <w:p>
      <w:pPr>
        <w:spacing w:after="0" w:line="100" w:lineRule="exact"/>
        <w:rPr>
          <w:sz w:val="20"/>
          <w:szCs w:val="20"/>
          <w:color w:val="auto"/>
        </w:rPr>
      </w:pPr>
    </w:p>
    <w:p>
      <w:pPr>
        <w:ind w:left="980" w:right="100" w:hanging="490"/>
        <w:spacing w:after="0" w:line="238" w:lineRule="auto"/>
        <w:tabs>
          <w:tab w:leader="none" w:pos="98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Stem cell and disease biology</w:t>
      </w:r>
      <w:r>
        <w:rPr>
          <w:rFonts w:ascii="Times New Roman" w:cs="Times New Roman" w:eastAsia="Times New Roman" w:hAnsi="Times New Roman"/>
          <w:sz w:val="20"/>
          <w:szCs w:val="20"/>
          <w:color w:val="231F20"/>
        </w:rPr>
        <w:t>. We believe that it is critical to have expertise in the developmental biology of stem cell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differentiation and a deep understanding of the desired cell biology of stem cell differentiation to generate cells that function appropriately, as well as a deep understanding of the desired cell phenotype. The latter requires expertise in normal and disease biology. Furthermore, clinical understanding of disease pathology and transplant medicine is required to determine how to engraft the right cell in the right environment.</w:t>
      </w:r>
    </w:p>
    <w:p>
      <w:pPr>
        <w:spacing w:after="0" w:line="138" w:lineRule="exact"/>
        <w:rPr>
          <w:rFonts w:ascii="Arial" w:cs="Arial" w:eastAsia="Arial" w:hAnsi="Arial"/>
          <w:sz w:val="24"/>
          <w:szCs w:val="24"/>
          <w:color w:val="231F20"/>
        </w:rPr>
      </w:pPr>
    </w:p>
    <w:p>
      <w:pPr>
        <w:ind w:left="980" w:hanging="490"/>
        <w:spacing w:after="0" w:line="239" w:lineRule="auto"/>
        <w:tabs>
          <w:tab w:leader="none" w:pos="98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Immunology and genome modification</w:t>
      </w:r>
      <w:r>
        <w:rPr>
          <w:rFonts w:ascii="Times New Roman" w:cs="Times New Roman" w:eastAsia="Times New Roman" w:hAnsi="Times New Roman"/>
          <w:sz w:val="20"/>
          <w:szCs w:val="20"/>
          <w:color w:val="231F20"/>
        </w:rPr>
        <w:t>. We believe that a deep understanding of the immunological response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allogeneic cells is essential to unlocking the potential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therapies. We have invested significantly in transplant immunology to understand the drivers of this immune response and potential cell modifications that will hide cells from allogeneic rejection. We have also built gene editing, genome modification, and gene insertion capabilities in order to modify the genome of cells so that transplanted, allogeneic cells can evade immune detection. We are also investing to obtain, manufacture, and ensure access to high quality current good manufacturing practice (GMP)-grade PSC lines for our programs.</w:t>
      </w:r>
    </w:p>
    <w:p>
      <w:pPr>
        <w:spacing w:after="0" w:line="135" w:lineRule="exact"/>
        <w:rPr>
          <w:rFonts w:ascii="Arial" w:cs="Arial" w:eastAsia="Arial" w:hAnsi="Arial"/>
          <w:sz w:val="24"/>
          <w:szCs w:val="24"/>
          <w:color w:val="231F20"/>
        </w:rPr>
      </w:pPr>
    </w:p>
    <w:p>
      <w:pPr>
        <w:ind w:left="980" w:right="80" w:hanging="490"/>
        <w:spacing w:after="0" w:line="239" w:lineRule="auto"/>
        <w:tabs>
          <w:tab w:leader="none" w:pos="980" w:val="left"/>
        </w:tabs>
        <w:numPr>
          <w:ilvl w:val="0"/>
          <w:numId w:val="13"/>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Manufacturing</w:t>
      </w:r>
      <w:r>
        <w:rPr>
          <w:rFonts w:ascii="Times New Roman" w:cs="Times New Roman" w:eastAsia="Times New Roman" w:hAnsi="Times New Roman"/>
          <w:sz w:val="20"/>
          <w:szCs w:val="20"/>
          <w:color w:val="231F20"/>
        </w:rPr>
        <w:t>. We are investing in process development, including process optimization and scale up, analytical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development, CMC regulatory, supply chain, quality, and other manufacturing sciences in order to develop processes that enable scalable manufacturing of cell therapies and broad patient access. We have entered into agreements with contract development and manufacturing organizations (CDMOs) and other partners for access to facilities and reagents in our supply chain necessary to manufacture our product candidates. We plan to continue investing in our manufacturing capabilities to ensure our pipeline needs are met.</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have prioritized cell types for our programs where:</w:t>
      </w:r>
    </w:p>
    <w:p>
      <w:pPr>
        <w:spacing w:after="0" w:line="165"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24"/>
          <w:szCs w:val="24"/>
          <w:color w:val="231F20"/>
        </w:rPr>
      </w:pPr>
      <w:r>
        <w:rPr>
          <w:rFonts w:ascii="Times New Roman" w:cs="Times New Roman" w:eastAsia="Times New Roman" w:hAnsi="Times New Roman"/>
          <w:sz w:val="20"/>
          <w:szCs w:val="20"/>
          <w:color w:val="231F20"/>
        </w:rPr>
        <w:t>high unmet need can be addressed by cell replacement;</w:t>
      </w:r>
    </w:p>
    <w:p>
      <w:pPr>
        <w:spacing w:after="0" w:line="138" w:lineRule="exact"/>
        <w:rPr>
          <w:rFonts w:ascii="Arial" w:cs="Arial" w:eastAsia="Arial" w:hAnsi="Arial"/>
          <w:sz w:val="24"/>
          <w:szCs w:val="24"/>
          <w:color w:val="231F20"/>
        </w:rPr>
      </w:pPr>
    </w:p>
    <w:p>
      <w:pPr>
        <w:ind w:left="980" w:right="320" w:hanging="490"/>
        <w:spacing w:after="0" w:line="235" w:lineRule="auto"/>
        <w:tabs>
          <w:tab w:leader="none" w:pos="980" w:val="left"/>
        </w:tabs>
        <w:numPr>
          <w:ilvl w:val="0"/>
          <w:numId w:val="14"/>
        </w:numPr>
        <w:rPr>
          <w:rFonts w:ascii="Arial" w:cs="Arial" w:eastAsia="Arial" w:hAnsi="Arial"/>
          <w:sz w:val="24"/>
          <w:szCs w:val="24"/>
          <w:color w:val="231F20"/>
        </w:rPr>
      </w:pPr>
      <w:r>
        <w:rPr>
          <w:rFonts w:ascii="Times New Roman" w:cs="Times New Roman" w:eastAsia="Times New Roman" w:hAnsi="Times New Roman"/>
          <w:sz w:val="20"/>
          <w:szCs w:val="20"/>
          <w:color w:val="231F20"/>
        </w:rPr>
        <w:t>existing proof of concept in humans and/or animal models demonstrates that cell transplantation should have a clinical benefit;</w:t>
      </w:r>
    </w:p>
    <w:p>
      <w:pPr>
        <w:spacing w:after="0" w:line="139" w:lineRule="exact"/>
        <w:rPr>
          <w:rFonts w:ascii="Arial" w:cs="Arial" w:eastAsia="Arial" w:hAnsi="Arial"/>
          <w:sz w:val="24"/>
          <w:szCs w:val="24"/>
          <w:color w:val="231F20"/>
        </w:rPr>
      </w:pPr>
    </w:p>
    <w:p>
      <w:pPr>
        <w:ind w:left="980" w:right="660" w:hanging="490"/>
        <w:spacing w:after="0" w:line="235" w:lineRule="auto"/>
        <w:tabs>
          <w:tab w:leader="none" w:pos="980" w:val="left"/>
        </w:tabs>
        <w:numPr>
          <w:ilvl w:val="0"/>
          <w:numId w:val="14"/>
        </w:numPr>
        <w:rPr>
          <w:rFonts w:ascii="Arial" w:cs="Arial" w:eastAsia="Arial" w:hAnsi="Arial"/>
          <w:sz w:val="24"/>
          <w:szCs w:val="24"/>
          <w:color w:val="231F20"/>
        </w:rPr>
      </w:pPr>
      <w:r>
        <w:rPr>
          <w:rFonts w:ascii="Times New Roman" w:cs="Times New Roman" w:eastAsia="Times New Roman" w:hAnsi="Times New Roman"/>
          <w:sz w:val="20"/>
          <w:szCs w:val="20"/>
          <w:color w:val="231F20"/>
        </w:rPr>
        <w:t xml:space="preserve">evidence exists that the cell type can be successfully differentiated from PSCs and that such PSC-derived cells can function appropriately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w:t>
      </w:r>
    </w:p>
    <w:p>
      <w:pPr>
        <w:spacing w:after="0" w:line="139" w:lineRule="exact"/>
        <w:rPr>
          <w:rFonts w:ascii="Arial" w:cs="Arial" w:eastAsia="Arial" w:hAnsi="Arial"/>
          <w:sz w:val="24"/>
          <w:szCs w:val="24"/>
          <w:color w:val="231F20"/>
        </w:rPr>
      </w:pPr>
    </w:p>
    <w:p>
      <w:pPr>
        <w:ind w:left="980" w:right="420" w:hanging="490"/>
        <w:spacing w:after="0" w:line="235" w:lineRule="auto"/>
        <w:tabs>
          <w:tab w:leader="none" w:pos="980" w:val="left"/>
        </w:tabs>
        <w:numPr>
          <w:ilvl w:val="0"/>
          <w:numId w:val="14"/>
        </w:numPr>
        <w:rPr>
          <w:rFonts w:ascii="Arial" w:cs="Arial" w:eastAsia="Arial" w:hAnsi="Arial"/>
          <w:sz w:val="24"/>
          <w:szCs w:val="24"/>
          <w:color w:val="231F20"/>
        </w:rPr>
      </w:pPr>
      <w:r>
        <w:rPr>
          <w:rFonts w:ascii="Times New Roman" w:cs="Times New Roman" w:eastAsia="Times New Roman" w:hAnsi="Times New Roman"/>
          <w:sz w:val="20"/>
          <w:szCs w:val="20"/>
          <w:color w:val="231F20"/>
        </w:rPr>
        <w:t>there has been the ability to hire or partner with world experts in the field to ensure our programs are rooted in a deep understanding of the underlying cell and disease biology; and</w:t>
      </w:r>
    </w:p>
    <w:p>
      <w:pPr>
        <w:spacing w:after="0" w:line="139" w:lineRule="exact"/>
        <w:rPr>
          <w:rFonts w:ascii="Arial" w:cs="Arial" w:eastAsia="Arial" w:hAnsi="Arial"/>
          <w:sz w:val="24"/>
          <w:szCs w:val="24"/>
          <w:color w:val="231F20"/>
        </w:rPr>
      </w:pPr>
    </w:p>
    <w:p>
      <w:pPr>
        <w:ind w:left="980" w:right="800" w:hanging="490"/>
        <w:spacing w:after="0" w:line="235" w:lineRule="auto"/>
        <w:tabs>
          <w:tab w:leader="none" w:pos="980" w:val="left"/>
        </w:tabs>
        <w:numPr>
          <w:ilvl w:val="0"/>
          <w:numId w:val="14"/>
        </w:numPr>
        <w:rPr>
          <w:rFonts w:ascii="Arial" w:cs="Arial" w:eastAsia="Arial" w:hAnsi="Arial"/>
          <w:sz w:val="24"/>
          <w:szCs w:val="24"/>
          <w:color w:val="231F20"/>
        </w:rPr>
      </w:pPr>
      <w:r>
        <w:rPr>
          <w:rFonts w:ascii="Times New Roman" w:cs="Times New Roman" w:eastAsia="Times New Roman" w:hAnsi="Times New Roman"/>
          <w:sz w:val="20"/>
          <w:szCs w:val="20"/>
          <w:color w:val="231F20"/>
        </w:rPr>
        <w:t>evading immune system rejection via our hypoimmune technology is a critical missing element to developing an impactful cell therapy.</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Based on this prioritization, we are currently focused on pancreatic islet cells.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Historical Context of ex vivo Therapy</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Blood transfusions have been a standard treatment for many patients for over 100 years. The first successful kidney transplant occurred in 1954, followed by the first successful heart transplant in 1967, demonstrating the transformative clinical potential of replacing damaged or missing cells in the body. Surgical enhancements have improved the success of engraftment, but lack of organ access, complex surgical procedures, immune rejection of the donated organs, and side effects from immunosuppressive regimens have limited the impact of these procedures beyond blood transfusions.</w:t>
      </w:r>
    </w:p>
    <w:p>
      <w:pPr>
        <w:spacing w:after="0" w:line="19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Host versus graft reaction (HvGR) is an effectively universal reaction whereby the immune system of an organ or cell transplant recipient recognizes the donor tissue as foreign and attacks it, leading to transplant rejection. Progress in immunosuppressive regimens, such as the development of cyclosporine, has improved organ survival rates. However, substantial side effects and the fact that many patients are ineligible or non-compliant have reduced the impact of these regimens.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800"/>
          </w:cols>
          <w:pgMar w:left="540" w:top="750" w:right="540" w:bottom="0" w:gutter="0" w:footer="0" w:header="0"/>
          <w:type w:val="continuous"/>
        </w:sectPr>
      </w:pPr>
    </w:p>
    <w:bookmarkStart w:id="16" w:name="page17"/>
    <w:bookmarkEnd w:id="16"/>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Ultimately, the field has looked for a scalable source of therapeutic cells that can be accessed broadly at a manageable cost and that can evade immune rejection without immunosuppression. The advent of stem cell technology and subsequent improvements in methods to generate functional differentiated cells at scale have the potential to address the shortage of donor tissues and organs. In addition, over the past decade, a deeper understanding of the immunology of HvGR, coupled with novel techniques to manipulate the immunological profile of cells via gene editing, have raised the prospect that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engineered cells can benefit patients without the requirement for significant immunosuppression.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Allogeneic Cells</w:t>
      </w:r>
    </w:p>
    <w:p>
      <w:pPr>
        <w:spacing w:after="0" w:line="12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There are three main potential sources of allogeneic cells, or cells that do not originate from the patient, and therefore have the potential to be manufactured and supplied at scale. These are embryonic stem cells (ESCs), iPSCs, and donor-derived cells. Our portfolio currently focuses on cells derived from iPSCs.</w:t>
      </w:r>
    </w:p>
    <w:p>
      <w:pPr>
        <w:spacing w:after="0" w:line="18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Crucial aspects of developing allogeneic cells from any source include a thorough characterization of the cells, a comprehensive understanding of the global regulatory environment, and an ability to maintain cells under the required conditions, such as GMP, at various stages of the manufacturing processes. We believe our early investment in building capabilities in the science and manufacturing of these cells will increase our likelihood of success. This investment is intended to yield sources of cells suitable for the global clinical development and commercialization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engineered cells for a broad patient population.</w:t>
      </w: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Embryonic Stem Cells</w:t>
      </w:r>
    </w:p>
    <w:p>
      <w:pPr>
        <w:spacing w:after="0" w:line="11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recognition that every cell in the body originates from a zygote, or fertilized egg, led to the research and ultimate discovery of human ESCs, with the derivation of the first human ESC line in 1998. ESCs are PSCs that have the potential to differentiate into any cell type and are derived from the inner cell mass of a blastocyst or pre -implantation stage embryo. They are typically cultured </w:t>
      </w:r>
      <w:r>
        <w:rPr>
          <w:rFonts w:ascii="Times New Roman" w:cs="Times New Roman" w:eastAsia="Times New Roman" w:hAnsi="Times New Roman"/>
          <w:sz w:val="20"/>
          <w:szCs w:val="20"/>
          <w:i w:val="1"/>
          <w:iCs w:val="1"/>
          <w:color w:val="231F20"/>
        </w:rPr>
        <w:t>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vitro </w:t>
      </w:r>
      <w:r>
        <w:rPr>
          <w:rFonts w:ascii="Times New Roman" w:cs="Times New Roman" w:eastAsia="Times New Roman" w:hAnsi="Times New Roman"/>
          <w:sz w:val="20"/>
          <w:szCs w:val="20"/>
          <w:color w:val="231F20"/>
        </w:rPr>
        <w:t>and grown through cycles of cell division, known as passages, until a line of cells is established that can proliferate without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differentiating and retain pluripotency while remaining well characterized, including being free of potentially deleterious genetic mutations. Because PSCs can divide indefinitely without exhaustion, an ESC line can be used to generate cell banks, consisting of large numbers of well-characterized vials of cells, that can be frozen and stored for future use.</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Induced Pluripotent Stem Cells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The discovery that mature, differentiated cells can be reprogrammed to be the equivalent of an ESC and capable of generating any cell type in the body has led to the research and ultimate development of human iPSCs, providing an alternative option as a source of stem cells for use in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engineered cells. A key breakthrough in 2006 demonstrated that mature cells could be reprogrammed via the expression of a small number of genes to result in pluripotent stem cells. These iPSCs, which we use in SC451, have similar potential to ESCs to be used as an indefinitely renewable cell bank for manufacturing of cell-based therapies.</w:t>
      </w: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Donor-Derived Allogeneic Cells</w:t>
      </w:r>
    </w:p>
    <w:p>
      <w:pPr>
        <w:spacing w:after="0" w:line="118"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Another source of cells, which we use in UP421, comes from mature donor-derived allogeneic cells. These cells are neither pluripotent nor from an infinitely renewable source, but are instead obtained as mature cells from human donors.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Background on Immunological Barriers to ex vivo Therapies and Current Limitations</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Starting with studies in renal transplantation in the early 1900s, it became clear that there were immunological factors preventing successful transplantation. Initially, transplant rejection was suspected to be mediated by an antibody response, but in the 1950s, it was discovered that cell-mediated immune pathways also play a critical role.</w:t>
      </w:r>
    </w:p>
    <w:p>
      <w:pPr>
        <w:spacing w:after="0" w:line="18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231F20"/>
        </w:rPr>
        <w:t>Further studies established that T cells play a key role in the host immune response to transplant. T cells belong to the “adaptive” immune system, recognizing and eliminating “non-self” cells via recognition of differences in cell-surface proteins encoded by the major histocompatibility (MHC) locus. There are two types of MHC molecules: MHC class I, expressed on the surface of almost all nucleated cells, and MHC class II, expressed constitutively on professional antigen presenting cells (APC), including macrophages and dendritic cells. Expression of MHC class II is also induced in many additional cells in the context of inflammation. MHC class I molecules typically display peptides from degraded intracellular proteins on the cell surface. Cells display peptides from normal “self” proteins on MHC class I, which typically will not activate an immune response due to a process called tolerance, where the body recognizes these peptides as “self.” However, if a cell displays a peptide from a foreign or mutated protein on MHC class I, for example, as a result of a protein mutation, it may result in the activation of a cytotoxic T cell response specific to the peptide-MHC complex via the T cell receptor (TCR) on the T cell surface. The activated T cell then eliminates the cell. MHC class II molecules typically display peptides derived from phagocytosis of extracellular proteins on the surface of APCs. These peptide-MHC complexes</w:t>
      </w:r>
    </w:p>
    <w:p>
      <w:pPr>
        <w:sectPr>
          <w:pgSz w:w="11880" w:h="15480" w:orient="portrait"/>
          <w:cols w:equalWidth="0" w:num="1">
            <w:col w:w="10780"/>
          </w:cols>
          <w:pgMar w:left="540" w:top="750" w:right="56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780"/>
          </w:cols>
          <w:pgMar w:left="540" w:top="750" w:right="560" w:bottom="0" w:gutter="0" w:footer="0" w:header="0"/>
          <w:type w:val="continuous"/>
        </w:sectPr>
      </w:pPr>
    </w:p>
    <w:bookmarkStart w:id="17" w:name="page18"/>
    <w:bookmarkEnd w:id="17"/>
    <w:p>
      <w:pPr>
        <w:ind w:right="260"/>
        <w:spacing w:after="0" w:line="247" w:lineRule="auto"/>
        <w:rPr>
          <w:sz w:val="20"/>
          <w:szCs w:val="20"/>
          <w:color w:val="auto"/>
        </w:rPr>
      </w:pPr>
      <w:r>
        <w:rPr>
          <w:rFonts w:ascii="Times New Roman" w:cs="Times New Roman" w:eastAsia="Times New Roman" w:hAnsi="Times New Roman"/>
          <w:sz w:val="20"/>
          <w:szCs w:val="20"/>
          <w:color w:val="231F20"/>
        </w:rPr>
        <w:t>interact with TCRs on helper T cells, such as CD4+ T cells, resulting in a downstream cellular and humoral immune response. The humoral immune response leads to antibody production against foreign proteins. In allogeneic transplants, the cellular and humoral processes can recognize proteins from the donor as “foreign,” resulting in an immune response to the transplant, including potential elimination of the transplanted cells. In the allogeneic setting, MHC proteins can be highly immunogenic due to their inherent polymorphism, increasing the risk of the recognition of transplants as “foreign.” This immunogenicity underlies the basis for MHC typing and matching to assess and reduce the risk of organ transplant rejection.</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Many groups have attempted to engineer cells that can evade the adaptive immune system, typically by downregulating or eliminating expression of MHC molecules on the surface of cells. Although this approach can reduce the adaptive immune response to donor cells, the human immune system has evolved so that parts of the innate immune system will recognize cells missing MHC molecules and eliminate them. For example, NK cells express receptors known as inhibitory killer-cell immunoglobulin-like receptors (KIRs). KIRs recognize self MHC class I molecules on the surface of cells and provide inhibitory signals to the NK cells to prevent their activation. Cells missing MHC class I molecules are correspondingly eliminated by NK cells because of the lack of inhibitory KIR signaling and a resulting cytolytic activation. Known as the “missing self-hypothesis,” this important redundancy in immunology enables the elimination of virally infected or transformed cells that have downregulated MHC class I, but it has complicated the development of allogeneic cells as broadly applicable therapeutics. Our hypoimmune technology seeks to engineer cells to avoid immune rejection by addressing both the adaptive and innate immune response.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There are three key strategies that have been used to date to overcome immune rejection, with limited success:</w:t>
      </w:r>
    </w:p>
    <w:p>
      <w:pPr>
        <w:spacing w:after="0" w:line="171" w:lineRule="exact"/>
        <w:rPr>
          <w:sz w:val="20"/>
          <w:szCs w:val="20"/>
          <w:color w:val="auto"/>
        </w:rPr>
      </w:pPr>
    </w:p>
    <w:p>
      <w:pPr>
        <w:ind w:left="980" w:hanging="490"/>
        <w:spacing w:after="0" w:line="239" w:lineRule="auto"/>
        <w:tabs>
          <w:tab w:leader="none" w:pos="980" w:val="left"/>
        </w:tabs>
        <w:numPr>
          <w:ilvl w:val="0"/>
          <w:numId w:val="15"/>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Immune Suppression</w:t>
      </w:r>
      <w:r>
        <w:rPr>
          <w:rFonts w:ascii="Times New Roman" w:cs="Times New Roman" w:eastAsia="Times New Roman" w:hAnsi="Times New Roman"/>
          <w:sz w:val="20"/>
          <w:szCs w:val="20"/>
          <w:color w:val="231F20"/>
        </w:rPr>
        <w:t>. Cyclosporine and other molecules that suppress T cell responses are commonly used, and many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patients have been helped by these approaches in areas such as organ transplantation. However, immune suppression often leads to significant systemic side effects, including a decreased ability to resist infections, increased susceptibility to cancer, and a wide variety of organ toxicities. Furthermore, organ transplant recipients typically require immunosuppression on a lifelong basis, and any disruption in this immunosuppression can rapidly trigger transplant rejection.</w:t>
      </w:r>
    </w:p>
    <w:p>
      <w:pPr>
        <w:spacing w:after="0" w:line="134" w:lineRule="exact"/>
        <w:rPr>
          <w:rFonts w:ascii="Arial" w:cs="Arial" w:eastAsia="Arial" w:hAnsi="Arial"/>
          <w:sz w:val="24"/>
          <w:szCs w:val="24"/>
          <w:color w:val="231F20"/>
        </w:rPr>
      </w:pPr>
    </w:p>
    <w:p>
      <w:pPr>
        <w:ind w:left="980" w:hanging="490"/>
        <w:spacing w:after="0" w:line="239" w:lineRule="auto"/>
        <w:tabs>
          <w:tab w:leader="none" w:pos="980" w:val="left"/>
        </w:tabs>
        <w:numPr>
          <w:ilvl w:val="0"/>
          <w:numId w:val="15"/>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Matching HLA Type</w:t>
      </w:r>
      <w:r>
        <w:rPr>
          <w:rFonts w:ascii="Times New Roman" w:cs="Times New Roman" w:eastAsia="Times New Roman" w:hAnsi="Times New Roman"/>
          <w:sz w:val="20"/>
          <w:szCs w:val="20"/>
          <w:color w:val="231F20"/>
        </w:rPr>
        <w:t>. A second approach to overcoming immune rejection is to find a donor with a matched human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leukocyte antigen (HLA) type. In humans, HLA is a synonym for MHC. This approach addresses the root of the mechanism that the immune system uses to identify “non-self” cells and has achieved some success. Finding a matched donor, however, can be difficult and is usually limited to close relatives who are willing and able to donate. Although some have advocated for creating large banks of cells that match a wide variety of HLA types, even with fully matched HLA class I and class II donors and recipients, there is a need for at least some immune suppression due to the presence of numerous minor antigen mismatches.</w:t>
      </w:r>
    </w:p>
    <w:p>
      <w:pPr>
        <w:spacing w:after="0" w:line="135" w:lineRule="exact"/>
        <w:rPr>
          <w:rFonts w:ascii="Arial" w:cs="Arial" w:eastAsia="Arial" w:hAnsi="Arial"/>
          <w:sz w:val="24"/>
          <w:szCs w:val="24"/>
          <w:color w:val="231F20"/>
        </w:rPr>
      </w:pPr>
    </w:p>
    <w:p>
      <w:pPr>
        <w:ind w:left="980" w:hanging="490"/>
        <w:spacing w:after="0" w:line="239" w:lineRule="auto"/>
        <w:tabs>
          <w:tab w:leader="none" w:pos="980" w:val="left"/>
        </w:tabs>
        <w:numPr>
          <w:ilvl w:val="0"/>
          <w:numId w:val="15"/>
        </w:numPr>
        <w:rPr>
          <w:rFonts w:ascii="Arial" w:cs="Arial" w:eastAsia="Arial" w:hAnsi="Arial"/>
          <w:sz w:val="24"/>
          <w:szCs w:val="24"/>
          <w:color w:val="231F20"/>
        </w:rPr>
      </w:pPr>
      <w:r>
        <w:rPr>
          <w:rFonts w:ascii="Times New Roman" w:cs="Times New Roman" w:eastAsia="Times New Roman" w:hAnsi="Times New Roman"/>
          <w:sz w:val="20"/>
          <w:szCs w:val="20"/>
          <w:b w:val="1"/>
          <w:bCs w:val="1"/>
          <w:color w:val="231F20"/>
        </w:rPr>
        <w:t>Autologous Approaches</w:t>
      </w:r>
      <w:r>
        <w:rPr>
          <w:rFonts w:ascii="Times New Roman" w:cs="Times New Roman" w:eastAsia="Times New Roman" w:hAnsi="Times New Roman"/>
          <w:sz w:val="20"/>
          <w:szCs w:val="20"/>
          <w:color w:val="231F20"/>
        </w:rPr>
        <w:t>. More recently, researchers have pursued autologous approaches, where a patient’s own cells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are modified and introduced back into the patient as a graft. These cells may avoid immune rejection as they would be recognized as “self.” Autologous approaches have demonstrated effectiveness in certain diseases, such as autologous CAR T cells for hematological malignancies, but these approaches are limited in their adoption due to manufacturing cost and complexity. Furthermore, autologous approaches are generally limited to cells that exist in the patient in suspension, such as blood cells.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Solution – Hypoimmune Technology</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To address the challenge of immune rejection with allogeneic cell transplantation, we are developing our hypoimmune technology, which uses genome modification to introduce permanent changes to the cells. We are currently focused on applying the hypoimmune technology to iPSCs, which can then be differentiated into multiple cell types. We believe that enabling this capability has the potential to enable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engineered cells to become an important therapeutic modality.</w:t>
      </w:r>
    </w:p>
    <w:p>
      <w:pPr>
        <w:spacing w:after="0" w:line="19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Some of our scientific founders and their collaborators have worked on creating hypoimmune cells for almost two decades. A key insight that informed their work is the phenomenon of feto-maternal tolerance during pregnancy. The fetus, despite having half its genetic material from the father, is not rejected by the mother’s immune system. However, after birth, few if any children would qualify as a matched donor for a cell or organ transplant for their mother. These scientists categorized the differences of the maternal-fetal border and systematically tested them to understand which, if any, of these were most important to immune evasion. They have tested these changes both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in animal models.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800"/>
          </w:cols>
          <w:pgMar w:left="540" w:top="750" w:right="5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231F20"/>
        </w:rPr>
        <w:t>Designing Hypoimmune Cells</w:t>
      </w:r>
    </w:p>
    <w:p>
      <w:pPr>
        <w:spacing w:after="0" w:line="120"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Our goal is to create a universal cell capable of evading immune detection, regardless of cell type or transplant location. Our hypoimmune technology combines three genome modifications to “hide” these cells from the host immune system:</w:t>
      </w:r>
    </w:p>
    <w:p>
      <w:pPr>
        <w:spacing w:after="0" w:line="94"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4"/>
          <w:szCs w:val="24"/>
          <w:color w:val="231F20"/>
        </w:rPr>
      </w:pPr>
      <w:r>
        <w:rPr>
          <w:rFonts w:ascii="Times New Roman" w:cs="Times New Roman" w:eastAsia="Times New Roman" w:hAnsi="Times New Roman"/>
          <w:sz w:val="20"/>
          <w:szCs w:val="20"/>
          <w:color w:val="231F20"/>
        </w:rPr>
        <w:t>disruption of MHC class I expression;</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16"/>
        </w:numPr>
        <w:rPr>
          <w:rFonts w:ascii="Arial" w:cs="Arial" w:eastAsia="Arial" w:hAnsi="Arial"/>
          <w:sz w:val="24"/>
          <w:szCs w:val="24"/>
          <w:color w:val="231F20"/>
        </w:rPr>
      </w:pPr>
      <w:r>
        <w:rPr>
          <w:rFonts w:ascii="Times New Roman" w:cs="Times New Roman" w:eastAsia="Times New Roman" w:hAnsi="Times New Roman"/>
          <w:sz w:val="20"/>
          <w:szCs w:val="20"/>
          <w:color w:val="231F20"/>
        </w:rPr>
        <w:t>disruption of MHC class II expression; and</w:t>
      </w:r>
    </w:p>
    <w:p>
      <w:pPr>
        <w:spacing w:after="0" w:line="138" w:lineRule="exact"/>
        <w:rPr>
          <w:rFonts w:ascii="Arial" w:cs="Arial" w:eastAsia="Arial" w:hAnsi="Arial"/>
          <w:sz w:val="24"/>
          <w:szCs w:val="24"/>
          <w:color w:val="231F20"/>
        </w:rPr>
      </w:pPr>
    </w:p>
    <w:p>
      <w:pPr>
        <w:ind w:left="980" w:right="120" w:hanging="490"/>
        <w:spacing w:after="0" w:line="235" w:lineRule="auto"/>
        <w:tabs>
          <w:tab w:leader="none" w:pos="980" w:val="left"/>
        </w:tabs>
        <w:numPr>
          <w:ilvl w:val="0"/>
          <w:numId w:val="16"/>
        </w:numPr>
        <w:rPr>
          <w:rFonts w:ascii="Arial" w:cs="Arial" w:eastAsia="Arial" w:hAnsi="Arial"/>
          <w:sz w:val="24"/>
          <w:szCs w:val="24"/>
          <w:color w:val="231F20"/>
        </w:rPr>
      </w:pPr>
      <w:r>
        <w:rPr>
          <w:rFonts w:ascii="Times New Roman" w:cs="Times New Roman" w:eastAsia="Times New Roman" w:hAnsi="Times New Roman"/>
          <w:sz w:val="20"/>
          <w:szCs w:val="20"/>
          <w:color w:val="231F20"/>
        </w:rPr>
        <w:t>overexpression of CD47, a protein that enables cells to evade the innate immune system, including macrophages and NK cells.</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Once these modifications have been applied to a cell, we refer to that cell as a hypoimmune cell.</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231F20"/>
        </w:rPr>
        <w:t>Creating Hypoimmune Therapeutic Cells from Human iPSCs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85090</wp:posOffset>
            </wp:positionV>
            <wp:extent cx="5186045" cy="279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518604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i w:val="1"/>
          <w:iCs w:val="1"/>
          <w:color w:val="231F20"/>
        </w:rPr>
        <w:t>Our hypoimmune technology combines the following three gene modifications to “hide” cells from the host immune system: disruption of MHC class I and class</w:t>
      </w:r>
    </w:p>
    <w:p>
      <w:pPr>
        <w:spacing w:after="0" w:line="32" w:lineRule="exact"/>
        <w:rPr>
          <w:sz w:val="20"/>
          <w:szCs w:val="20"/>
          <w:color w:val="auto"/>
        </w:rPr>
      </w:pPr>
    </w:p>
    <w:p>
      <w:pPr>
        <w:ind w:left="500" w:hanging="10"/>
        <w:spacing w:after="0" w:line="242" w:lineRule="auto"/>
        <w:tabs>
          <w:tab w:leader="none" w:pos="647" w:val="left"/>
        </w:tabs>
        <w:numPr>
          <w:ilvl w:val="0"/>
          <w:numId w:val="17"/>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expression (which inactivates adaptive immune responses), and overexpression of CD47 (which “hides” cells from the innate immune system, including macrophages and NK) cells. iPSCs from healthy donors are used as the starting material and are then genetically modified with our hypoimmune modifications. These edited cells are then differentiated into cell types of therapeutic interest, which could potentially be administered to a patient as an “off the shelf” therapy.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Development of Hypoimmune Cells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Over time, we and our licensors have carried out a series of experiments in various model systems of increasing immunological complexity. These included (i) transplanting undifferentiated mouse hypoimmune iPSCs into MHC mismatched allogeneic mice, (ii) transplanting mouse hypoimmune iPSC-derived differentiated cells, such as pancreatic islet cells, into MHC mismatched allogeneic mice, (iii) transplanting human hypoimmune iPSCs into MHC mismatched humanized allogeneic mice, (iv) transplanting NHP hypoimmune iPSCs into MHC mismatched allogeneic NHPs, (v) transplanting NHP hypoimmune iPSC-derived differentiated cells, such as cardiomyocytes or retinal pigment epithelial cells (RPEs), into MHC mismatched allogeneic NHPs, and (vi) transplanting NHP hypoimmune primary cells, such as pancreatic islets, into MHC mismatched diabetic and non-diabetic NHPs.</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have shown that HIP-modified cells survive and evade immune detection in each of these settings. Importantly, these results include experiments in NHPs, including testing of hypoimmune primary islets. We have shown that hypoimmune primary islets can mediate insulin independence in a fully immunocompetent diabetic NHP without the use of any immunosuppression. These results confirm that hypoimmune modifications confer immune evasion without compromising islet function in this setting. We are encouraged by the data from these investigations, given the similarity of the NHP immune system to the human immune system and that NHP models represent the strictest test outside of evaluating these cells in humans.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780"/>
          </w:cols>
          <w:pgMar w:left="540" w:top="750" w:right="560" w:bottom="0" w:gutter="0" w:footer="0" w:header="0"/>
          <w:type w:val="continuous"/>
        </w:sectPr>
      </w:pPr>
    </w:p>
    <w:bookmarkStart w:id="19" w:name="page20"/>
    <w:bookmarkEnd w:id="19"/>
    <w:p>
      <w:pPr>
        <w:ind w:left="500"/>
        <w:spacing w:after="0"/>
        <w:rPr>
          <w:sz w:val="20"/>
          <w:szCs w:val="20"/>
          <w:color w:val="auto"/>
        </w:rPr>
      </w:pPr>
      <w:r>
        <w:rPr>
          <w:rFonts w:ascii="Times New Roman" w:cs="Times New Roman" w:eastAsia="Times New Roman" w:hAnsi="Times New Roman"/>
          <w:sz w:val="20"/>
          <w:szCs w:val="20"/>
          <w:i w:val="1"/>
          <w:iCs w:val="1"/>
          <w:color w:val="231F20"/>
        </w:rPr>
        <w:t>Mouse iPSC-Derived Hypoimmune Cells Transplanted into MHC Mismatched Allogeneic Mouse</w:t>
      </w:r>
    </w:p>
    <w:p>
      <w:pPr>
        <w:spacing w:after="0" w:line="11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Mouse hypoimmune iPSCs transplanted into an MHC mismatched allogeneic mouse were protected from the mouse immune system, and no evidence was seen of either adaptive or innate immune system activation. The control arm transplanted unmodified mouse iPSCs into MHC mismatched allogeneic mice, and as expected, these unmodified mouse iPSCs were rapidly rejected by the recipient mouse immune system with a robust adaptive immune response. In another experiment, the genes that code for MHC class I and MHC class II expression were disrupted. These modifications protected the cells from the recipient mouse’s adaptive immune system, but NK cells rapidly killed the transplanted cells. These data highlight the importance of all three genome modifications (MHC class I, MHC class II, and CD47 overexpression) in protecting cells from the immune system following an allogeneic transplant.</w:t>
      </w:r>
    </w:p>
    <w:p>
      <w:pPr>
        <w:spacing w:after="0" w:line="202"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Next, to ensure that hypoimmune genome modifications protected differentiated cells and that these modifications did not impact the ability of iPSCs to differentiate into various cell types, commonly referred to as pluripotency, the scientists tested whether the hypoimmune iPSCs cells could be differentiated into three different cell types, function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and evade the host immune system. The three cell types were cardiomyocytes, endothelial cells, and smooth muscle cells. The hypoimmune iPSCs successfully differentiated into all three cell types, the cells functioned in the mouse, and the transplanted cells survived for the full standard observation period with no evidence of immune system activation despite having received no immune suppression. Differentiated cells derived from unmodified iPSC cells led to immune activation in the host mice, which did not survive. These data provide initial proof of concept that iPSCs can be genetically modified and differentiated into target cells that can engraft, function, and evade the recipient’s immune system following transplantation.</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Human iPSC-derived Hypoimmune Cells Transplanted into MHC Mismatched Allogeneic Humanized Mouse</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Having demonstrated the ability of mouse iPSC-derived hypoimmune cells to satisfy each of three testing criteria, the experiments were advanced to evaluate human hypoimmune cells by using a “humanized” mouse system, generated by grafting a functioning human immune system in place of the mouse immune system. We also evaluated the ability to successfully engineer human hypoimmune cells from human iPSCs and whether differentiated cells derived from human hypoimmune cells retain biological function.</w:t>
      </w:r>
    </w:p>
    <w:p>
      <w:pPr>
        <w:spacing w:after="0" w:line="19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First, the three genome modifications described above were replicated in human iPSCs to engineer a human hypoimmune cell line with properties comparable to the mouse hypoimmune cells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Next, unmodified human iPSCs were transplanted into MHC mismatched humanized mice. It was observed that these unmodified human iPSCs were rapidly rejected. Human hypoimmune cells were then transplanted into MHC-mismatched humanized mice. It was observed that the human hypoimmune cells survived the full length of the experiment and failed to elicit any type of immune response. From these data we concluded that in humanized mice, human hypoimmune cells can evade the immune system. Pluripotency of human hypoimmune cells was confirmed by differentiation into two different cell types, endothelial cells and cardiomyocytes, which exhibited the characteristics of normal endothelial cells and cardiomyocytes. Finally, to test whether the differentiated cell types derived from human hypoimmune cells could continue to evade the immune system, the differentiated cells were transplanted into humanized mice, and the transplanted cells survived for the full standard observation period. In contrast, differentiated cells derived from unmodified human iPSC cells did not survive after being transplanted, as anticipated.</w:t>
      </w: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NHP Hypoimmune Cells Transplanted into NHPs</w:t>
      </w:r>
    </w:p>
    <w:p>
      <w:pPr>
        <w:spacing w:after="0" w:line="118"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231F20"/>
        </w:rPr>
        <w:t>To evaluate immune evasion properties of the hypoimmune cells, we have tested the immune response to and survival of hypoimmune iPSCs from NHPs by transplantation into an allogeneic NHP recipient without immunosuppression.</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231F20"/>
        </w:rPr>
        <w:t>Design for Allogeneic Study Involving Wild Type (Unmodified) and Hypoimmune NHP iPSC Delivery to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112395</wp:posOffset>
            </wp:positionV>
            <wp:extent cx="3318510" cy="176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3318510" cy="1762760"/>
                    </a:xfrm>
                    <a:prstGeom prst="rect">
                      <a:avLst/>
                    </a:prstGeom>
                    <a:noFill/>
                  </pic:spPr>
                </pic:pic>
              </a:graphicData>
            </a:graphic>
          </wp:anchor>
        </w:drawing>
      </w:r>
    </w:p>
    <w:p>
      <w:pPr>
        <w:sectPr>
          <w:pgSz w:w="11880" w:h="15480" w:orient="portrait"/>
          <w:cols w:equalWidth="0" w:num="1">
            <w:col w:w="10780"/>
          </w:cols>
          <w:pgMar w:left="540" w:top="75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780"/>
          </w:cols>
          <w:pgMar w:left="540" w:top="752" w:right="560" w:bottom="0" w:gutter="0" w:footer="0" w:header="0"/>
          <w:type w:val="continuous"/>
        </w:sectPr>
      </w:pPr>
    </w:p>
    <w:bookmarkStart w:id="20" w:name="page21"/>
    <w:bookmarkEnd w:id="20"/>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study involved a randomized group of eight NHPs distributed into two cohorts of four NHPs each. The first cohort received an initial intramuscular injection of unmodified NHP iPSCs in one leg and a second injection of NHP hypoimmune cells at six weeks in the other leg (i.e., a crossover design). The second cohort received an initial injection of NHP hypoimmune cells in one leg, which allowed assessment of immune evasion in a naïve recipient. In order to model certain aspects of autoimmune disease, this cohort also received a second injection of unmodified NHP iPSCs in the other leg, which enabled assessment of the impact of injecting hypoimmune cells into an NHP with a pre-existing immune response to unmodified cells. No immunosuppression was administered to any of the NHPs in the study.</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231F20"/>
        </w:rPr>
        <w:t xml:space="preserve">Allogeneic Hypoimmune iPSCs Survive </w:t>
      </w:r>
      <w:r>
        <w:rPr>
          <w:rFonts w:ascii="Times New Roman" w:cs="Times New Roman" w:eastAsia="Times New Roman" w:hAnsi="Times New Roman"/>
          <w:sz w:val="20"/>
          <w:szCs w:val="20"/>
          <w:b w:val="1"/>
          <w:bCs w:val="1"/>
          <w:i w:val="1"/>
          <w:iCs w:val="1"/>
          <w:u w:val="single" w:color="auto"/>
          <w:color w:val="231F20"/>
        </w:rPr>
        <w:t>in vivo</w:t>
      </w:r>
      <w:r>
        <w:rPr>
          <w:rFonts w:ascii="Times New Roman" w:cs="Times New Roman" w:eastAsia="Times New Roman" w:hAnsi="Times New Roman"/>
          <w:sz w:val="20"/>
          <w:szCs w:val="20"/>
          <w:b w:val="1"/>
          <w:bCs w:val="1"/>
          <w:u w:val="single" w:color="auto"/>
          <w:color w:val="231F20"/>
        </w:rPr>
        <w:t xml:space="preserve"> in NHPs with Intact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162560</wp:posOffset>
            </wp:positionV>
            <wp:extent cx="3815715" cy="5359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3815715" cy="535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6"/>
          <w:szCs w:val="16"/>
          <w:i w:val="1"/>
          <w:iCs w:val="1"/>
          <w:color w:val="231F20"/>
        </w:rPr>
        <w:t>Upper panel: Unmodified wild type (wt) NHP iPSCs (Group 1, top row) or hypoimmune NHP iPSCs (Group 2, bottom row) were introduced via intramuscular injection into allogeneic NHPs. Unmodified NHP iPSCs are undetectable in recipient NHPs by week 3 while hypoimmune NHP iPSCs introduced into naïve NHPs were viable and detectable for 16 weeks post injection. At 6 weeks following the initial injection, NHPs were injected with the crossover cell type (Group 1 with hypoimmune NHP iPSCs and Group 2 with wt unmodified iPSCs). In these crossover experiments, hypoimmune NHP iPSCs survived even when the NHP had been exposed to unmodified iPSCs. Unmodified iPSCs injected into NHPs previously injected with hypoimmune iPSCs were rapidly killed with no observable impact on the hypoimmune NHP iPSCs that continued to remain viable. Data shown from single NHP belonging to each group; images are representative for four NHPs receiving hypoimmune iPSCs and four NHPs receiving wt iPSCs.</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Lower panel: iPSC survival in vivo is followed over time using bioluminescence imaging (BLI).</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Data published in Hu et al., Nat Biotechnology 2024 Mar;42(3):413-423.</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780"/>
          </w:cols>
          <w:pgMar w:left="540" w:top="750" w:right="560" w:bottom="0" w:gutter="0" w:footer="0" w:header="0"/>
          <w:type w:val="continuous"/>
        </w:sectPr>
      </w:pPr>
    </w:p>
    <w:bookmarkStart w:id="21" w:name="page22"/>
    <w:bookmarkEnd w:id="21"/>
    <w:p>
      <w:pPr>
        <w:jc w:val="center"/>
        <w:ind w:left="560" w:right="40"/>
        <w:spacing w:after="0" w:line="286" w:lineRule="auto"/>
        <w:rPr>
          <w:sz w:val="20"/>
          <w:szCs w:val="20"/>
          <w:color w:val="auto"/>
        </w:rPr>
      </w:pPr>
      <w:r>
        <w:rPr>
          <w:rFonts w:ascii="Times New Roman" w:cs="Times New Roman" w:eastAsia="Times New Roman" w:hAnsi="Times New Roman"/>
          <w:sz w:val="20"/>
          <w:szCs w:val="20"/>
          <w:b w:val="1"/>
          <w:bCs w:val="1"/>
          <w:u w:val="single" w:color="auto"/>
          <w:color w:val="231F20"/>
        </w:rPr>
        <w:t>Absence of T Cell, B Cell, or NK Cell Responses Following the First Delivery and Crossover of Hypoimmune NHP iPSCs into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132715</wp:posOffset>
            </wp:positionV>
            <wp:extent cx="4304030" cy="5040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43040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6"/>
          <w:szCs w:val="16"/>
          <w:i w:val="1"/>
          <w:iCs w:val="1"/>
          <w:color w:val="231F20"/>
        </w:rPr>
        <w:t>Upper panel: Immune cells from NHPs receiving hypoimmune iPSCs showed no response when exposed to hypoimmune iPSCs in vitro (Row 1) in contrast to wt iPSCs (Row 2). Lower panel: Neither unmodified nor hypoimmune iPSCs were susceptible to killing by NK cells, indicating protection from the “missing self” signal. Data above are collected from four NHPs in each experimental arm.</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Data published in Hu et al., Nat Biotechnology 2024 Mar;42(3):413-423.</w:t>
      </w:r>
    </w:p>
    <w:p>
      <w:pPr>
        <w:spacing w:after="0" w:line="23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NHP hypoimmune iPSCs grafted into NHPs elicited no detectable systemic immune responses, including no T cell activation and no antibody formation. Innate immune responses mediated by macrophages and NK cells were also undetectable. The transplanted hypoimmune cells were alive and detectable in the four allogeneic recipients for the duration of the study, which was 16 weeks for two of the NHPs and 8 weeks for the other two NHPs. To our knowledge, this is the first instance of prolonged graft survival in an allogeneic transplant setting without immunosuppression in NHPs. By contrast, systemic immune responses from T cells as well as IgM and IgG antibodies were generated to iPSCs without the hypoimmune edits, and the iPSCs were rapidly rejected within two to three weeks.</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In the crossover portion of this experiment, injection of NHP hypoimmune iPSCs into NHPs that had previously received unmodified iPSCs again elicited no systemic responses as tested in assays for T cell or antibody responses. Similarly, macrophage and NK responses could not be detected. Correspondingly, these iPSCs survived for the full eight weeks that they were monitored, suggesting that pre-existing immunity to unmodified human iPSCs had no impact on hypoimmune iPSC survival. By contrast, in the NHPs that had previously been injected with hypoimmune iPSCs, the unmodified NHP iPSCs elicited both T cell and antibody responses. Notably, these unmodified iPSCs were rapidly rejected by the NHP within one to two weeks, while the previously injected hypoimmune iPSCs continued to be viable in the other leg of the NHP. These results confirm that the survival of the hypoimmune</w:t>
      </w:r>
    </w:p>
    <w:p>
      <w:pPr>
        <w:sectPr>
          <w:pgSz w:w="11880" w:h="15480" w:orient="portrait"/>
          <w:cols w:equalWidth="0" w:num="1">
            <w:col w:w="10780"/>
          </w:cols>
          <w:pgMar w:left="540" w:top="1022" w:right="560" w:bottom="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780"/>
          </w:cols>
          <w:pgMar w:left="540" w:top="1022" w:right="560" w:bottom="0" w:gutter="0" w:footer="0" w:header="0"/>
          <w:type w:val="continuous"/>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20"/>
          <w:szCs w:val="20"/>
          <w:color w:val="231F20"/>
        </w:rPr>
        <w:t>allograft was not an artifact of an impaired immune system or immune response in the recipient NHP. They also suggest that these hypoimmune iPSCs have the potential for immune evasion even in the context of a new immune response toward iPSCs without these edits.</w:t>
      </w:r>
    </w:p>
    <w:p>
      <w:pPr>
        <w:spacing w:after="0" w:line="1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other experiments, we observed immune evasion and cell survival of hypoimmune NHP iPSC-derived cardiomyocytes and RPEs. In separate experiments, these cardiomyocytes and RPEs were injected into the hearts and eyes (subretinal space), respectively, of healthy allogeneic NHP recipients without immunosuppression. Both the hypoimmune cardiomyocytes and RPEs were found to evade systemic adaptive and innate immune responses and survived for the duration of the applicable experiment. Separately, we have shown that hypoimmune NHP islet cells transplanted into a non-matched allogeneic NHP survive for the duration of the 40-week study.</w:t>
      </w:r>
    </w:p>
    <w:p>
      <w:pPr>
        <w:spacing w:after="0" w:line="20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conducted an experiment to better understand whether hypoimmune modifications impair the function of islet cells and to confirm that these modifications enable the islet cells to evade immune responses. For these experiments, we made hypoimmune genetic modifications to NHP primary islets and then transplanted these islets intramuscularly, without immunosuppression, into a different NHP. We found that the hypoimmune islets were viable for the full duration of the study (approximately ten months) and did not elicit either an adaptive or innate immune response. By contrast, unmodified NHP primary islets injected into a separate NHP were rejected within one week. These results suggest that hypoimmune modifications enable allogeneic immune evasion by NHP primary islet cells and increase our confidence in the clinical translatability of this approach.</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231F20"/>
        </w:rPr>
        <w:t>Primary Allogeneic Hypoimmune NHP Pancreatic Islet Cells Survive in NHPs for 10 Months Without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163195</wp:posOffset>
            </wp:positionV>
            <wp:extent cx="4671695" cy="3554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4671695" cy="355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right="180"/>
        <w:spacing w:after="0" w:line="251" w:lineRule="auto"/>
        <w:rPr>
          <w:sz w:val="20"/>
          <w:szCs w:val="20"/>
          <w:color w:val="auto"/>
        </w:rPr>
      </w:pPr>
      <w:r>
        <w:rPr>
          <w:rFonts w:ascii="Times New Roman" w:cs="Times New Roman" w:eastAsia="Times New Roman" w:hAnsi="Times New Roman"/>
          <w:sz w:val="16"/>
          <w:szCs w:val="16"/>
          <w:i w:val="1"/>
          <w:iCs w:val="1"/>
          <w:color w:val="231F20"/>
        </w:rPr>
        <w:t>Hypoimmune NHP primary islets (top row) or unmodified wild type (wt) NHP primary islets (bottom row) were introduced via intramuscular injection into allogeneic NHPs. Unmodified NHP primary islets are undetectable in recipient NHPs by week 1 while hypoimmune NHP primary islets introduced into naïve NHPs were viable and detectable until the experiment was terminated at 40 weeks following injection. Primary islet cell survival in vivo is followed over time using bioluminescence imaging (BLI).</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Data published in Hu et al., Nat Biotechnology 2024 Mar;42(3):413-423.</w:t>
      </w:r>
    </w:p>
    <w:p>
      <w:pPr>
        <w:spacing w:after="0" w:line="23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have also presented data from a study transplanting allogeneic HIP-modified pancreatic islet cells into a fully immunocompetent, diabetic NHP. Subsequent to diabetes being induced in the NHP with streptozotocin (STZ), daily insulin injections were performed to re-establish glucose control. After 78 days, the NHP underwent transplantation of HIP primary islets by intramuscular injection, resulting in insulin independence without the use of any immunosuppression. As early as one week after the transplantation, the NHP’s serum C-peptide level had normalized, and it remained stable throughout the follow-up period of six months. The NHP showed tightly controlled blood glucose levels for six months, was completely insulin-independent, and was continuously healthy throughout this period with no use of any immunosuppression. Up to six months following HIP primary islet transplantation, peripheral blood mononuclear cells and serum were obtained from the NHP for immune analyses. HIP primary islets</w:t>
      </w:r>
    </w:p>
    <w:p>
      <w:pPr>
        <w:sectPr>
          <w:pgSz w:w="11880" w:h="15480" w:orient="portrait"/>
          <w:cols w:equalWidth="0" w:num="1">
            <w:col w:w="10800"/>
          </w:cols>
          <w:pgMar w:left="540" w:top="750" w:right="540" w:bottom="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800"/>
          </w:cols>
          <w:pgMar w:left="540" w:top="750" w:right="540" w:bottom="0" w:gutter="0" w:footer="0" w:header="0"/>
          <w:type w:val="continuous"/>
        </w:sectPr>
      </w:pPr>
    </w:p>
    <w:bookmarkStart w:id="23" w:name="page24"/>
    <w:bookmarkEnd w:id="23"/>
    <w:p>
      <w:pPr>
        <w:spacing w:after="0" w:line="247" w:lineRule="auto"/>
        <w:rPr>
          <w:sz w:val="20"/>
          <w:szCs w:val="20"/>
          <w:color w:val="auto"/>
        </w:rPr>
      </w:pPr>
      <w:r>
        <w:rPr>
          <w:rFonts w:ascii="Times New Roman" w:cs="Times New Roman" w:eastAsia="Times New Roman" w:hAnsi="Times New Roman"/>
          <w:sz w:val="20"/>
          <w:szCs w:val="20"/>
          <w:color w:val="231F20"/>
        </w:rPr>
        <w:t>showed no T cell recognition, no graft-specific antibodies, and were protected from NK cell and macrophage killing. To demonstrate that the NHP’s insulin-independence was fully dependent on the HIP primary islets and that there was no regeneration of the animal’s endogenous islet cell population, we triggered the destruction of the HIP primary islets by the NHP’s immune system by using a CD47-targeting antibody. This resulted in a loss of glycemic control and return to exogenous insulin dependence. We believe these data demonstrate potential evidence for immune evasion of HIP primary islets, graft-mediated insulin-independence of the diabetic NHP, and a potential safety strategy.</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231F20"/>
        </w:rPr>
        <w:t>Hypoimmune Islet Cells Achieve Insulin Independence after Allogeneic Transplantation in a Fully Immunocompetent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92710</wp:posOffset>
            </wp:positionV>
            <wp:extent cx="5066030" cy="2710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066030" cy="271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line="244" w:lineRule="auto"/>
        <w:rPr>
          <w:sz w:val="20"/>
          <w:szCs w:val="20"/>
          <w:color w:val="auto"/>
        </w:rPr>
      </w:pPr>
      <w:r>
        <w:rPr>
          <w:rFonts w:ascii="Times New Roman" w:cs="Times New Roman" w:eastAsia="Times New Roman" w:hAnsi="Times New Roman"/>
          <w:sz w:val="16"/>
          <w:szCs w:val="16"/>
          <w:i w:val="1"/>
          <w:iCs w:val="1"/>
          <w:color w:val="231F20"/>
        </w:rPr>
        <w:t>Fasting glucose monitoring in an NHP for about 10 months encompassing pre STZ, post STZ, post HIP islet cell transplant, and post anti-CD47 phases of the study: Diabetes mellitus was induced in a male NHP with STZ and daily insulin injections were started. Blood glucose was monitored twice daily and showed major instability over approximately two weeks until a well-controlled steady state was reached. After 78 days, the NHP underwent intramuscular transplantation with allogeneic HIP islet cells. Insulin support was gradually withdrawn over approximately 12 days. The NHP did not receive immunosuppression before, during, or after HIP islet cell transplantation. The NHP showed tightly controlled blood glucose levels and was completely insulin-independent for six months. Following anti-CD47 mediated ablation of the graft, blood glucose levels increased steadily. Insulin injections were resumed eight days after the start of anti-CD47 antibody at the previously established maintenance dose. Despite insulin supplementation, widely fluctuating blood glucose levels were observed and no steady state was re-established for the remainder of the study.</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Data published in Hu et al., 2024, Cell Stem Cell 31, 334–340.</w:t>
      </w: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u w:val="single" w:color="auto"/>
          <w:color w:val="231F20"/>
        </w:rPr>
        <w:t>Hypoimmune Islet Cells Normalize C-peptide Levels after Allogeneic Transplantation in a Fully Immunocompetent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45085</wp:posOffset>
            </wp:positionV>
            <wp:extent cx="3630295" cy="2391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363029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0" w:right="60"/>
        <w:spacing w:after="0" w:line="251" w:lineRule="auto"/>
        <w:rPr>
          <w:sz w:val="20"/>
          <w:szCs w:val="20"/>
          <w:color w:val="auto"/>
        </w:rPr>
      </w:pPr>
      <w:r>
        <w:rPr>
          <w:rFonts w:ascii="Times New Roman" w:cs="Times New Roman" w:eastAsia="Times New Roman" w:hAnsi="Times New Roman"/>
          <w:sz w:val="16"/>
          <w:szCs w:val="16"/>
          <w:i w:val="1"/>
          <w:iCs w:val="1"/>
          <w:color w:val="231F20"/>
        </w:rPr>
        <w:t>NHP serum C-peptide declines after induction of diabetes post STZ. As early as one week after the transplantation, NHP serum c-peptide level normalized (indicated by c-peptide levels of &gt;2ng/ml) and remained stable throughout the follow-up period of six months. Destruction of HIP islet cells by anti-CD47 antibody coincides with the decline in C-peptide levels in the serum, confirming that HIP islet cells were required for continued production of C-peptide in the NHP.</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231F20"/>
        </w:rPr>
        <w:t>Data published in Hu et al., 2024, Cell Stem Cell 31, 334–340.</w:t>
      </w:r>
    </w:p>
    <w:p>
      <w:pPr>
        <w:sectPr>
          <w:pgSz w:w="11880" w:h="15480" w:orient="portrait"/>
          <w:cols w:equalWidth="0" w:num="1">
            <w:col w:w="10720"/>
          </w:cols>
          <w:pgMar w:left="540" w:top="750" w:right="620" w:bottom="0" w:gutter="0" w:footer="0" w:header="0"/>
        </w:sect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720"/>
          </w:cols>
          <w:pgMar w:left="540" w:top="750" w:right="620" w:bottom="0" w:gutter="0" w:footer="0" w:header="0"/>
          <w:type w:val="continuous"/>
        </w:sectPr>
      </w:pPr>
    </w:p>
    <w:bookmarkStart w:id="24" w:name="page25"/>
    <w:bookmarkEnd w:id="24"/>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Based on our preclinical data to date, we believe our hypoimmune technology has the potential to address the most fundamental limitation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therapies, persistence, and thereby unlock waves of potentially disruptive therapies across a variety of cell types.</w:t>
      </w:r>
    </w:p>
    <w:p>
      <w:pPr>
        <w:spacing w:after="0" w:line="16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The findings from the first-in-human transplantation of UP421, our HIP-modified allogeneic primary islet cell therapy, in the IST being conducted at Uppsala University Hospital further validate our preclinical observations. These human data demonstrate that HIP-modified islet cells can survive and function without immunosuppression. The detection of C-peptide production and comprehensive immune evasion in the IST represents a significant step toward addressing the fundamental challenge of cellular persistence in transplantation therapies. The results from the IST are described in greater detail below in the section titled “Pancreatic Islet Cell Program.”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Safety Switch for Hypoimmune Cells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are actively investigating approaches to control hypoimmune cells after administration into the patient. If necessary, the aim of these “safety switches” would be to provide a mechanism to eliminate hypoimmune cells within the body in a targeted fashion when the cells are not in a location where physical removal is feasible. Such a safety switch would mitigate the potential risk of adverse outcomes if a hypoimmune cell, which can, by its nature, evade the immune system, becomes infected with a virus or undergoes oncogenic transformation.</w:t>
      </w:r>
    </w:p>
    <w:p>
      <w:pPr>
        <w:spacing w:after="0" w:line="19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One approach we are exploring as a safety switch is re-sensitization of the hypoimmune cells to innate cell killing via administration of a blocking anti-CD47 antibody. We have tested the effectiveness of this approach in iPSCs and teratomas (a particular tumor formed by pluripotent cells with histological features from all three germ layers), both bearing the hypoimmune modifications. Using hypoimmune NHP iPSCs, we observed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that the addition of an anti-CD47 antibody binds to and blocks CD47 expressed in the hypoimmune cells and restores their sensitivity to the missing-self killing response mediated by NK cells. We also assessed this strategy in mice that were transplanted with human iPSCs that formed small teratomas. Finally, we have conducted </w:t>
      </w:r>
      <w:r>
        <w:rPr>
          <w:rFonts w:ascii="Times New Roman" w:cs="Times New Roman" w:eastAsia="Times New Roman" w:hAnsi="Times New Roman"/>
          <w:sz w:val="20"/>
          <w:szCs w:val="20"/>
          <w:i w:val="1"/>
          <w:iCs w:val="1"/>
          <w:color w:val="231F20"/>
        </w:rPr>
        <w:t xml:space="preserve">in vitro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i w:val="1"/>
          <w:iCs w:val="1"/>
          <w:color w:val="231F20"/>
        </w:rPr>
        <w:t xml:space="preserve"> in vivo </w:t>
      </w:r>
      <w:r>
        <w:rPr>
          <w:rFonts w:ascii="Times New Roman" w:cs="Times New Roman" w:eastAsia="Times New Roman" w:hAnsi="Times New Roman"/>
          <w:sz w:val="20"/>
          <w:szCs w:val="20"/>
          <w:color w:val="231F20"/>
        </w:rPr>
        <w:t>experiments with this strategy using a number of human cancer lines, showing that an anti-CD47 antibody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resensitizes cancer cells to killing by NK cells and macrophages. Treatment with an anti-CD47 antibody resulted in the loss of immune evasion and the rapid killing of these transplanted cells. As described above, use of an anti-CD47 antibody in a fully immunocompetent NHP was sufficient to trigger destruction of transplanted allogeneic HIP islet cells following initial survival of such cells for six months. We believe these data support use of anti-CD47 antibodies as a potential safety strategy. We have identified several additional safety switches with both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activity and intend to include one of these in SC451 to provide a mechanism to kill these cells if needed.</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231F20"/>
        </w:rPr>
        <w:t xml:space="preserve">Anti-CD47 Administration Results in the Rapid Clearance of Hypoimmune NHP iPSCs </w:t>
      </w:r>
      <w:r>
        <w:rPr>
          <w:rFonts w:ascii="Times New Roman" w:cs="Times New Roman" w:eastAsia="Times New Roman" w:hAnsi="Times New Roman"/>
          <w:sz w:val="20"/>
          <w:szCs w:val="20"/>
          <w:b w:val="1"/>
          <w:bCs w:val="1"/>
          <w:i w:val="1"/>
          <w:iCs w:val="1"/>
          <w:u w:val="single" w:color="auto"/>
          <w:color w:val="231F20"/>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545965" cy="1925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4545965" cy="192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right="520"/>
        <w:spacing w:after="0" w:line="274" w:lineRule="auto"/>
        <w:rPr>
          <w:sz w:val="20"/>
          <w:szCs w:val="20"/>
          <w:color w:val="auto"/>
        </w:rPr>
      </w:pPr>
      <w:r>
        <w:rPr>
          <w:rFonts w:ascii="Times New Roman" w:cs="Times New Roman" w:eastAsia="Times New Roman" w:hAnsi="Times New Roman"/>
          <w:sz w:val="16"/>
          <w:szCs w:val="16"/>
          <w:i w:val="1"/>
          <w:iCs w:val="1"/>
          <w:color w:val="231F20"/>
        </w:rPr>
        <w:t>Left panel: Hypoimmune NHP iPSCs do not induce killing by NK cells in an in vitro killing assay. Right panel: By contrast, anti-CD47 antibody treated hypoimmune NHP iPSCs are no longer able to evade missing-self responses mediated by NK cells and are killed rapidly.</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760"/>
          </w:cols>
          <w:pgMar w:left="540" w:top="750" w:right="580" w:bottom="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9"/>
          <w:szCs w:val="19"/>
          <w:b w:val="1"/>
          <w:bCs w:val="1"/>
          <w:u w:val="single" w:color="auto"/>
          <w:color w:val="231F20"/>
        </w:rPr>
        <w:t>Anti-CD47 Administration Results in the Rapid Clearance of Human iPSC-derived Teratomas in a Humanized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200660</wp:posOffset>
            </wp:positionV>
            <wp:extent cx="4079240" cy="2269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4079240" cy="226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0" w:right="100"/>
        <w:spacing w:after="0" w:line="274" w:lineRule="auto"/>
        <w:rPr>
          <w:sz w:val="20"/>
          <w:szCs w:val="20"/>
          <w:color w:val="auto"/>
        </w:rPr>
      </w:pPr>
      <w:r>
        <w:rPr>
          <w:rFonts w:ascii="Times New Roman" w:cs="Times New Roman" w:eastAsia="Times New Roman" w:hAnsi="Times New Roman"/>
          <w:sz w:val="16"/>
          <w:szCs w:val="16"/>
          <w:i w:val="1"/>
          <w:iCs w:val="1"/>
          <w:color w:val="231F20"/>
        </w:rPr>
        <w:t>Left panel: Human iPSCs proliferate (as visualized by luminescence of live cells) and form teratomas in NSG mice (n=3) with adoptive transferred human NK cells. Administration of isotype control has no impact on hypoimmune iPSC survival.</w:t>
      </w:r>
    </w:p>
    <w:p>
      <w:pPr>
        <w:spacing w:after="0" w:line="68" w:lineRule="exact"/>
        <w:rPr>
          <w:sz w:val="20"/>
          <w:szCs w:val="20"/>
          <w:color w:val="auto"/>
        </w:rPr>
      </w:pPr>
    </w:p>
    <w:p>
      <w:pPr>
        <w:ind w:left="500" w:right="40"/>
        <w:spacing w:after="0" w:line="257" w:lineRule="auto"/>
        <w:rPr>
          <w:sz w:val="20"/>
          <w:szCs w:val="20"/>
          <w:color w:val="auto"/>
        </w:rPr>
      </w:pPr>
      <w:r>
        <w:rPr>
          <w:rFonts w:ascii="Times New Roman" w:cs="Times New Roman" w:eastAsia="Times New Roman" w:hAnsi="Times New Roman"/>
          <w:sz w:val="16"/>
          <w:szCs w:val="16"/>
          <w:i w:val="1"/>
          <w:iCs w:val="1"/>
          <w:color w:val="231F20"/>
        </w:rPr>
        <w:t>Right panel: Blocking of CD47 in vivo results in killing of hypoimmune iPSCs (as visualized by luminescence of live cells) in NSG mice (n=5) with adoptive transferred human NK cells. These results have been confirmed in vivo as illustrated above in the allogeneic HIP islet transplantation experiment conducted in a diabetic NHP.</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CD47 Overexpression is Differentiated in Inhibiting “Missing Self” Response Relative to Other Approaches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As part of our ongoing efforts to further refine our hypoimmune technology, we evaluated the effectiveness of the overexpression of CD47 in comparison to other molecules that have at least some ability to inhibit innate immune responses. We carried out these head-to-head comparisons in K562 cells, a cell line that is naturally deficient in MHC class I and class II, and in which the lack of the MHC class I molecule should result in rapid cell killing by stimulated innate immune cells such as NK cells due to the activation of the “missing self” response. We compared three molecules, HLA-E, HLA-G, and PDL-1, each of which has previously been thought to play a role in inhibiting innate immune responses, against CD47. In this assay, overexpression of these three molecules conferred limited protection from NK cell killing as compared to CD47 overexpression. This difference in activity may be the result of the more ubiquitous presence of the receptor for CD47 on innate immune cells relative to the presence of receptors for these other immunomodulators. Although these results do not rule out a role for these other molecules in inhibiting NK cell responses, they suggest that CD47 may be sufficient to nullify the NK cell-mediated missing-self response.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231F20"/>
        </w:rPr>
        <w:t>CD47 Overexpression is Differentiated in Inhibiting “Missing Self” Response Relative to Other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104775</wp:posOffset>
            </wp:positionV>
            <wp:extent cx="3519805" cy="257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351980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0"/>
        <w:spacing w:after="0" w:line="257" w:lineRule="auto"/>
        <w:rPr>
          <w:sz w:val="20"/>
          <w:szCs w:val="20"/>
          <w:color w:val="auto"/>
        </w:rPr>
      </w:pPr>
      <w:r>
        <w:rPr>
          <w:rFonts w:ascii="Times New Roman" w:cs="Times New Roman" w:eastAsia="Times New Roman" w:hAnsi="Times New Roman"/>
          <w:sz w:val="16"/>
          <w:szCs w:val="16"/>
          <w:i w:val="1"/>
          <w:iCs w:val="1"/>
          <w:color w:val="231F20"/>
        </w:rPr>
        <w:t>Panels above show in vitro killing assays mediated by NK cells. Cells missing MHC molecules are killed by NK cells, as measured by rapid decline in cell index. Overexpression of immunomodulatory molecules such as HLA-E, HLA-G, or PDL-1 in cells missing MHC molecules did not block NK cell killing. By contrast, overexpression of CD47 blocked NK cell mediated missing-self response.</w:t>
      </w:r>
    </w:p>
    <w:p>
      <w:pPr>
        <w:sectPr>
          <w:pgSz w:w="11880" w:h="15480" w:orient="portrait"/>
          <w:cols w:equalWidth="0" w:num="1">
            <w:col w:w="10740"/>
          </w:cols>
          <w:pgMar w:left="540" w:top="746" w:right="600" w:bottom="0" w:gutter="0" w:footer="0" w:header="0"/>
        </w:sect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740"/>
          </w:cols>
          <w:pgMar w:left="540" w:top="746" w:right="6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 xml:space="preserve">Our </w:t>
      </w:r>
      <w:r>
        <w:rPr>
          <w:rFonts w:ascii="Times New Roman" w:cs="Times New Roman" w:eastAsia="Times New Roman" w:hAnsi="Times New Roman"/>
          <w:sz w:val="20"/>
          <w:szCs w:val="20"/>
          <w:b w:val="1"/>
          <w:bCs w:val="1"/>
          <w:i w:val="1"/>
          <w:iCs w:val="1"/>
          <w:color w:val="231F20"/>
        </w:rPr>
        <w:t>ex vivo</w:t>
      </w:r>
      <w:r>
        <w:rPr>
          <w:rFonts w:ascii="Times New Roman" w:cs="Times New Roman" w:eastAsia="Times New Roman" w:hAnsi="Times New Roman"/>
          <w:sz w:val="20"/>
          <w:szCs w:val="20"/>
          <w:b w:val="1"/>
          <w:bCs w:val="1"/>
          <w:color w:val="231F20"/>
        </w:rPr>
        <w:t xml:space="preserve"> Cell Engineering Pipeline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Pancreatic Islet Cell Program</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SC451 is our hypoimmune iPSC-derived pancreatic islet cell product candidate that aims to restore glucose control in patients with T1D patients by transplantation into these patients without the need for immunosuppression. T1D is a disease of missing pancreatic beta cells, and we believe that transplanting pancreatic islets, which are composed of pancreatic alpha, beta, and delta cells, offers the chance for patients to have normal blood glucose control without insulin, meaningfully improving outcomes for patients with T1D. Over 20 years of global clinical experience transplanting allogeneic primary pancreatic islets from deceased donors support this belief. After transplant with significant immunosuppression, T1D patients can remain off insulin with well controlled blood glucose for well over a decade. More recently, several groups have shown that transplant of PSC-derived pancreatic islets along with meaningful immunosuppression can lead to normalization of blood glucose with no need for exogenous insulin. Because there are relatively few patients for whom long-term immunosuppression is better than insulin, we believe that creating a hypoimmune product, removing the need for immunosuppression, is the key next step in creating a curative and broadly available therapy for patients with T1D.</w:t>
      </w:r>
    </w:p>
    <w:p>
      <w:pPr>
        <w:spacing w:after="0" w:line="20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December 2024, the first-in-human transplantation of UP421, our HIP-modified allogeneic primary islet cell therapy, occurred in an investigator-sponsored trial (IST) conducted at Uppsala University Hospital. The IST is designed to evaluate safety, immune evasion, and function of UP421 transplanted intramuscularly without any immunosuppression in a patient with T1D. This patient has now been followed for 52 weeks, and data demonstrate that all primary and secondary endpoints have been met throughout the study to twelve months. The study showed no drug product-related adverse events. Additionally, there was evidence of graft survival and function with PET/MRI as well as with detectable C-peptide production throughout the study to twelve months. C-peptide levels increased, as expected, during a mixed meal tolerance test, showing appropriate function of the transplanted islet cells. Immunological analysis revealed comprehensive immune evasion of HIP-modified pancreatic islet cells. Data from the study are described in greater detail below.</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Background on Type 1 Diabetes Mellitus</w:t>
      </w:r>
    </w:p>
    <w:p>
      <w:pPr>
        <w:spacing w:after="0" w:line="118"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20"/>
          <w:szCs w:val="20"/>
          <w:color w:val="231F20"/>
        </w:rPr>
        <w:t>T1D is an autoimmune disease in which the patient’s immune system destroys its own pancreatic beta cells. The destruction of these cells leads to complete loss of insulin production and a metabolic disease wherein patients are unable to control their blood glucose levels. Often called “juvenile diabetes,” T1D disease onset commonly occurs in adolescence, but can occur throughout life. Beta cells reside in specialized hormone-producing clusters within the pancreas called the islets of Langerhans. In T1D, activated T lymphocytes infiltrate the islets and selectively kill the beta cells, progressively reducing the body’s capacity to produce insulin. Once the reserve capacity of beta cells is exhausted, blood glucose rises, and the patient will have a lifelong battle to control blood glucose levels. Without insulin therapy, T1D is rapidly fatal. T1D currently affects almost ten million patients worldwide.</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Current Treatment Landscape and Unmet Need</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Insulin injection is the main treatment option for T1D. Despite significant advances in types of insulins, glucose monitoring, and insulin pumps, life expectancy for T1D is still approximately 15 years shorter than for people without diabetes. Patients are at risk of acute complications of hyperglycemia, including diabetic ketoacidosis, coma, and death, as well as hypoglycemic episodes, particularly at night, which can lead to seizures, coma, or death. The significant swings in blood glucose with exogenous insulin make it difficult for a T1D patient to keep blood glucose in physiologic ranges, with blood glucose levels often above target. Long term elevations in blood glucose levels can have particularly devastating effects on arteries and capillaries, resulting in premature myocardial infarction, stroke, limb ischemia, gangrene, kidney failure, and blindness due to diabetic retinopathy. Automated insulin delivery systems, which feature a computerized system for sensing blood glucose and delivering appropriate doses of insulin, have improved glycemic control, but most patients continue to spend significant periods outside of target blood glucose ranges. Even with the current best treatments and careful glucose control, patients with T1D live an estimated decade shorter than those without the disease. All current therapies require patients to carefully monitor their dietary intake, which, although inconvenient in adults, is a frequent point of failure in adolescents and children.</w:t>
      </w:r>
    </w:p>
    <w:p>
      <w:pPr>
        <w:spacing w:after="0" w:line="20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Pancreas transplantation for uncontrollable diabetes was first performed in the 1960s and established the principle that replacing the pancreatic beta cells (here, in the context of the entire pancreas) could restore physiological glucose control. Pancreas transplants are complicated surgical interventions, require lifelong immunosuppression, and are limited due to organ availability. Nevertheless, some 30,000 pancreas transplants have been performed worldwide to date.</w:t>
      </w:r>
    </w:p>
    <w:p>
      <w:pPr>
        <w:spacing w:after="0" w:line="19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Because of these challenges, the medical community began exploring pancreatic islet transplantation in the 1970s. This process requires enzymatic digestion of a donor pancreas and isolation of the islets of Langerhans, followed by delivery of these cells to an</w:t>
      </w:r>
    </w:p>
    <w:p>
      <w:pPr>
        <w:sectPr>
          <w:pgSz w:w="11880" w:h="15480" w:orient="portrait"/>
          <w:cols w:equalWidth="0" w:num="1">
            <w:col w:w="10780"/>
          </w:cols>
          <w:pgMar w:left="540" w:top="746" w:right="560" w:bottom="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780"/>
          </w:cols>
          <w:pgMar w:left="540" w:top="746" w:right="560" w:bottom="0" w:gutter="0" w:footer="0" w:header="0"/>
          <w:type w:val="continuous"/>
        </w:sectPr>
      </w:pPr>
    </w:p>
    <w:bookmarkStart w:id="27" w:name="page28"/>
    <w:bookmarkEnd w:id="27"/>
    <w:p>
      <w:pPr>
        <w:ind w:right="80"/>
        <w:spacing w:after="0" w:line="246" w:lineRule="auto"/>
        <w:rPr>
          <w:sz w:val="20"/>
          <w:szCs w:val="20"/>
          <w:color w:val="auto"/>
        </w:rPr>
      </w:pPr>
      <w:r>
        <w:rPr>
          <w:rFonts w:ascii="Times New Roman" w:cs="Times New Roman" w:eastAsia="Times New Roman" w:hAnsi="Times New Roman"/>
          <w:sz w:val="20"/>
          <w:szCs w:val="20"/>
          <w:color w:val="231F20"/>
        </w:rPr>
        <w:t>appropriate site in the body where the islets can engraft and become well-vascularized. The major lessons from islet transplantation have been that glucose homeostasis can be restored, insulin independence can be achieved, levels of hemoglobin A1C (a marker of long-term glucose levels) can be normalized, severe episodes of hypoglycemia can be reduced, and the pathology associated with long-term hyperglycemia can halt or even reverse. As with an organ transplant, patients must undergo chronic immune suppression to prevent immune rejection of the transplanted cells. Most patients lose glucose control over a period of months to years and eventually become insulin-dependent again, primarily due to immune rejection of the allogeneic islets resulting from an inability to tolerate the significant immune suppression necessary to protect the cell transplant.</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Our Pancreatic Islet Cell Program Approach</w:t>
      </w:r>
    </w:p>
    <w:p>
      <w:pPr>
        <w:spacing w:after="0" w:line="118"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The goal of our SC451 program is to restore glucose control in T1D patients by transplanting hypoimmune iPSC-derived islet cells, including beta cells, without the need for immunosuppression, giving patients physiologically appropriate glucose sensing and insulin secretion. We believe this therapy could reduce, or even eliminate, hypoglycemia and hyperglycemia in T1D patients, potentially enabling less onerous and costly treatment, fewer complications, a meaningfully improved quality of life, and longer life expectancy.</w:t>
      </w:r>
    </w:p>
    <w:p>
      <w:pPr>
        <w:spacing w:after="0" w:line="19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We focus our efforts around three goals: (i) using our hypoimmune technology to genetically modify iPSCs to evade allogeneic immune responses, (ii) using our hypoimmune technology to genetically modify iPSCs to evade autoimmune destruction of islet cells, and (iii) deriving highly functional islet cells from these genetically-modified iPSCs. This strategy requires building on lessons from pancreatic islet transplantation, recent advances in understanding pancreatic islet developmental biology, and our hypoimmune technology.</w:t>
      </w:r>
    </w:p>
    <w:p>
      <w:pPr>
        <w:spacing w:after="0" w:line="197"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19"/>
          <w:szCs w:val="19"/>
          <w:color w:val="231F20"/>
        </w:rPr>
        <w:t xml:space="preserve">Deriving islet cells from iPSCs has the potential to solve limitations associated with use of a donor pancreas and improve the overall product quality and product consistency. iPSCs have the potential to create a virtually limitless supply of these cells. We apply our hypoimmune technology to modify the genomes of the iPSCs. We believe the hypoimmune genome modifications have the potential to protect these PSC-derived islet cells from both allogeneic and autoimmune rejection by the patient’s immune system and potentially remove the need for toxic immunosuppression in transplant recipients. Hypoimmunity also eliminates the need for physical separation of the islet cells from the rest of the body by a device or encapsulation technology, which may allow for tighter glucose control by eliminating the lag time between glucose sensing and insulin secretion as well as avoiding the fibrotic reaction inherent in encapsulation technologies to date. After modifying the PSC genome, our program uses proprietary differentiation protocols to generate mature islet cells with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glucose control comparable to primary human islets, as evidenced by our animal studies.</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Preclinical Data</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Building upon exclusively licensed intellectual property, we are further developing a proprietary protocol to differentiate hypoimmune iPSCs into mature, glucose-sensitive, insulin-secreting islet cells. We are exploring ways to optimize the differentiation of islet cells at a greater purity with superior function and a greater scale compared to published stem cell-based protocols. The principal function of pancreatic beta cells, the insulin-secreting cells within an islet, is to maintain steady levels of glucose in circulation and drive glucose uptake into cells throughout the body. The pancreatic beta cells sense when glucose levels rise in the bloodstream and release insulin in response. We have observed that our iPSC-derived islet populations can respond to glucose and secrete insulin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These iPSC-derived pancreatic islets were tested in a mouse model of T1D induced by the beta cell toxin, STZ. When transplanted into the kidney of the T1D mice, these islet cells normalize glucose levels in an equivalent fashion to primary human islets. The diabetic glucose levels return when the grafts are surgically excised via nephrectomy. Similar to the human phenotype, T1D mice cannot normalize circulating glucose levels following a glucose injection. Following transplantation of our islet cells, these mice rapidly normalized blood glucose in an equivalent fashion to both non-T1D mice and T1D mice that received human primary islet transplants without any evidence of abnormal cell growths or other safety signals.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231F20"/>
        </w:rPr>
        <w:t>We have also tested whether hypoimmune modifications to iPSC-derived islet cells can enable evasion of autoimmune rejection.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approached this question in two ways.</w:t>
      </w:r>
    </w:p>
    <w:p>
      <w:pPr>
        <w:spacing w:after="0" w:line="21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First, we carried out transplantation experiments in the non-obese diabetic (NOD) mouse model, which develops spontaneous T1D due to induction of autoantibodies and autoreactive T cells that kill the islet cells. We isolated islets from pre-diabetic NOD mice and applied hypoimmune technology to these islets to generate hypoimmune NOD islet cells, which we transplanted into diabetic NOD mice. When transplanted into NOD mice, unmodified NOD islet cells were rejected within approximately two weeks and had no impact on the diabetes. By contrast, the hypoimmune NOD islet cells survived and achieved durable glycemic control within two weeks.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800"/>
          </w:cols>
          <w:pgMar w:left="540" w:top="750" w:right="540" w:bottom="0" w:gutter="0" w:footer="0" w:header="0"/>
          <w:type w:val="continuous"/>
        </w:sectPr>
      </w:pPr>
    </w:p>
    <w:bookmarkStart w:id="28" w:name="page29"/>
    <w:bookmarkEnd w:id="28"/>
    <w:p>
      <w:pPr>
        <w:ind w:right="40" w:firstLine="490"/>
        <w:spacing w:after="0" w:line="262" w:lineRule="auto"/>
        <w:rPr>
          <w:sz w:val="20"/>
          <w:szCs w:val="20"/>
          <w:color w:val="auto"/>
        </w:rPr>
      </w:pPr>
      <w:r>
        <w:rPr>
          <w:rFonts w:ascii="Times New Roman" w:cs="Times New Roman" w:eastAsia="Times New Roman" w:hAnsi="Times New Roman"/>
          <w:sz w:val="19"/>
          <w:szCs w:val="19"/>
          <w:color w:val="231F20"/>
        </w:rPr>
        <w:t>In a second set of experiments, we tested whether we observe similar findings in a human T1D model. A T1D patient has no functioning islets, so we derived a novel model to test the ability to overcome autoimmune recognition and rejection of autologous pancreatic islets. First, we reprogrammed immune cells from a T1D patient donor into iPSCs. We then split the iPSCs into two groups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one group to which we applied hypoimmune modifications and one that remained unmodified – before differentiating these iPSCs into islet cells using our differentiation protocol. This process produced two different cell products for testing: (i) hypoimmune iPSC-derived islet cells and (ii) unmodified iPSC-derived islet cells. To simulate the immune environment of a T1D patient, we developed a humanized mouse model (T1D mice) which is populated with immune cells from the same T1D patient donor and in which diabetes is subsequently induced via STZ. Unmodified iPSC-derived islet cells injected intramuscularly into T1D mice were rejected within nine days without any impact on the mouse's ability to control blood glucose. In contrast, hypoimmune iPSC-derived islet cells survived in T1D mice and resulted in glucose control within two weeks. To confirm that the immune system was intact and functioning in these mice, we tested the impact of a subsequent injection of unmodified iPSC-derived islet cells into the mice that had already been injected with hypoimmune iPSC-derived islet cells. We found that the unmodified iPSC-derived islet cells were rapidly rejected while the hypoimmune iPSC-derived islet cells and the glucose control were preserved. Together, these data support our belief that our hypoimmune modifications can enable evasion of autoimmune rejection.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231F20"/>
        </w:rPr>
        <w:t>Autologous Pancreatic Islet Experiment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156210</wp:posOffset>
            </wp:positionV>
            <wp:extent cx="5538470" cy="4974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5538470" cy="497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520"/>
        <w:spacing w:after="0" w:line="274" w:lineRule="auto"/>
        <w:tabs>
          <w:tab w:leader="none" w:pos="911" w:val="left"/>
        </w:tabs>
        <w:numPr>
          <w:ilvl w:val="0"/>
          <w:numId w:val="19"/>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Experimental schema for generating a humanized T1D mouse and autologous iPSCs from T1D patient PBMCs. T1D patient PBMCs were used to generate iPSCs, which were used to generate unmodified and hypoimmune autologous islet cells.</w:t>
      </w:r>
    </w:p>
    <w:p>
      <w:pPr>
        <w:spacing w:after="0" w:line="67" w:lineRule="exact"/>
        <w:rPr>
          <w:rFonts w:ascii="Times New Roman" w:cs="Times New Roman" w:eastAsia="Times New Roman" w:hAnsi="Times New Roman"/>
          <w:sz w:val="16"/>
          <w:szCs w:val="16"/>
          <w:i w:val="1"/>
          <w:iCs w:val="1"/>
          <w:color w:val="231F20"/>
        </w:rPr>
      </w:pPr>
    </w:p>
    <w:p>
      <w:pPr>
        <w:ind w:left="720" w:right="240"/>
        <w:spacing w:after="0" w:line="274" w:lineRule="auto"/>
        <w:tabs>
          <w:tab w:leader="none" w:pos="911" w:val="left"/>
        </w:tabs>
        <w:numPr>
          <w:ilvl w:val="0"/>
          <w:numId w:val="19"/>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Unmodified iPSC-derived autologous islet cells are cleared by the immune system of the humanized T1D mouse by day 7 and did not restore glycemic control.</w:t>
      </w:r>
    </w:p>
    <w:p>
      <w:pPr>
        <w:spacing w:after="0" w:line="67" w:lineRule="exact"/>
        <w:rPr>
          <w:rFonts w:ascii="Times New Roman" w:cs="Times New Roman" w:eastAsia="Times New Roman" w:hAnsi="Times New Roman"/>
          <w:sz w:val="16"/>
          <w:szCs w:val="16"/>
          <w:i w:val="1"/>
          <w:iCs w:val="1"/>
          <w:color w:val="231F20"/>
        </w:rPr>
      </w:pPr>
    </w:p>
    <w:p>
      <w:pPr>
        <w:jc w:val="both"/>
        <w:ind w:left="720" w:right="200"/>
        <w:spacing w:after="0" w:line="257" w:lineRule="auto"/>
        <w:tabs>
          <w:tab w:leader="none" w:pos="920" w:val="left"/>
        </w:tabs>
        <w:numPr>
          <w:ilvl w:val="0"/>
          <w:numId w:val="19"/>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Hypoimmune iPSC-derived autologous islet cells (injected on left side of mouse) survive for duration of experiment (through day 29) while unmodified iPSC-derived autologous islet cells (injected on right side of mouse at day 15 following injection of hypoimmune iPSC-derived autologous islet cells) are cleared within one week following injection.</w:t>
      </w:r>
    </w:p>
    <w:p>
      <w:pPr>
        <w:spacing w:after="0" w:line="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i w:val="1"/>
          <w:iCs w:val="1"/>
          <w:color w:val="231F20"/>
        </w:rPr>
        <w:t>Data published in Hu et al., Sci. Transl. Med. 15, eadg5794 (2023) 12 April 2023.</w:t>
      </w:r>
    </w:p>
    <w:p>
      <w:pPr>
        <w:sectPr>
          <w:pgSz w:w="11880" w:h="15480" w:orient="portrait"/>
          <w:cols w:equalWidth="0" w:num="1">
            <w:col w:w="10780"/>
          </w:cols>
          <w:pgMar w:left="540" w:top="750" w:right="560" w:bottom="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780"/>
          </w:cols>
          <w:pgMar w:left="540" w:top="750" w:right="560" w:bottom="0" w:gutter="0" w:footer="0" w:header="0"/>
          <w:type w:val="continuous"/>
        </w:sectPr>
      </w:pPr>
    </w:p>
    <w:bookmarkStart w:id="29" w:name="page30"/>
    <w:bookmarkEnd w:id="29"/>
    <w:p>
      <w:pPr>
        <w:jc w:val="center"/>
        <w:ind w:left="560" w:right="40"/>
        <w:spacing w:after="0" w:line="286" w:lineRule="auto"/>
        <w:rPr>
          <w:sz w:val="20"/>
          <w:szCs w:val="20"/>
          <w:color w:val="auto"/>
        </w:rPr>
      </w:pPr>
      <w:r>
        <w:rPr>
          <w:rFonts w:ascii="Times New Roman" w:cs="Times New Roman" w:eastAsia="Times New Roman" w:hAnsi="Times New Roman"/>
          <w:sz w:val="20"/>
          <w:szCs w:val="20"/>
          <w:b w:val="1"/>
          <w:bCs w:val="1"/>
          <w:u w:val="single" w:color="auto"/>
          <w:color w:val="231F20"/>
        </w:rPr>
        <w:t>HIP-Modified iPSC-derived Islet Cells Transplanted into Muscle Persist and Control Blood Glucose in Mice for Greater than 15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105410</wp:posOffset>
            </wp:positionV>
            <wp:extent cx="4210685" cy="4211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4210685" cy="421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right="140"/>
        <w:spacing w:after="0" w:line="274" w:lineRule="auto"/>
        <w:rPr>
          <w:sz w:val="20"/>
          <w:szCs w:val="20"/>
          <w:color w:val="auto"/>
        </w:rPr>
      </w:pPr>
      <w:r>
        <w:rPr>
          <w:rFonts w:ascii="Times New Roman" w:cs="Times New Roman" w:eastAsia="Times New Roman" w:hAnsi="Times New Roman"/>
          <w:sz w:val="16"/>
          <w:szCs w:val="16"/>
          <w:i w:val="1"/>
          <w:iCs w:val="1"/>
          <w:color w:val="231F20"/>
        </w:rPr>
        <w:t>Upper left panel: Single-cell RNA sequencing visualized via a UMAP feature plot showing insulin expression in unedited iPSC-derived islet cells. Analysis reveals high insulin expression across stem cell-derived (sc-) islet cells, with peak expression localized within the sc-beta cell cluster.</w:t>
      </w:r>
    </w:p>
    <w:p>
      <w:pPr>
        <w:spacing w:after="0" w:line="68" w:lineRule="exact"/>
        <w:rPr>
          <w:sz w:val="20"/>
          <w:szCs w:val="20"/>
          <w:color w:val="auto"/>
        </w:rPr>
      </w:pPr>
    </w:p>
    <w:p>
      <w:pPr>
        <w:ind w:left="720" w:right="220"/>
        <w:spacing w:after="0" w:line="269" w:lineRule="auto"/>
        <w:rPr>
          <w:sz w:val="20"/>
          <w:szCs w:val="20"/>
          <w:color w:val="auto"/>
        </w:rPr>
      </w:pPr>
      <w:r>
        <w:rPr>
          <w:rFonts w:ascii="Times New Roman" w:cs="Times New Roman" w:eastAsia="Times New Roman" w:hAnsi="Times New Roman"/>
          <w:sz w:val="15"/>
          <w:szCs w:val="15"/>
          <w:i w:val="1"/>
          <w:iCs w:val="1"/>
          <w:color w:val="231F20"/>
        </w:rPr>
        <w:t>Upper right panel: Glucose-Responsive Human C-Peptide Production by HIP-Modified iPSC Islets In Vivo at 51 Weeks Post-Transplant. HIP-modified iPSC islet cells demonstrated sustained functionality through glucose-responsive c-peptide secretion 51 weeks after transplantation (see details of transplantation conditions below). Mice were fasted for five hours, and plasma was collected via tail-snip before (“pre-glucose,” light gray bar) and 30 minutes after (“post-glucose,” dark gray bar) administration of an intraperitoneal 3 g/kg dextrose bolus. Human c-peptide levels, measured in picomoles (pM), increased significantly from a baseline of approximately 800 pM to about 1750 pM following glucose stimulation. Data presented as mean ± S.D.</w:t>
      </w:r>
    </w:p>
    <w:p>
      <w:pPr>
        <w:spacing w:after="0" w:line="73" w:lineRule="exact"/>
        <w:rPr>
          <w:sz w:val="20"/>
          <w:szCs w:val="20"/>
          <w:color w:val="auto"/>
        </w:rPr>
      </w:pPr>
    </w:p>
    <w:p>
      <w:pPr>
        <w:ind w:left="720" w:right="20"/>
        <w:spacing w:after="0" w:line="235" w:lineRule="auto"/>
        <w:rPr>
          <w:sz w:val="20"/>
          <w:szCs w:val="20"/>
          <w:color w:val="auto"/>
        </w:rPr>
      </w:pPr>
      <w:r>
        <w:rPr>
          <w:rFonts w:ascii="Times New Roman" w:cs="Times New Roman" w:eastAsia="Times New Roman" w:hAnsi="Times New Roman"/>
          <w:sz w:val="16"/>
          <w:szCs w:val="16"/>
          <w:i w:val="1"/>
          <w:iCs w:val="1"/>
          <w:color w:val="231F20"/>
        </w:rPr>
        <w:t>Lower panel: Long-Term Blood Glucose Control by HIP-Modified iPSC Islets. Graph demonstrates the persistent efficacy of HIP-modified iPSC islet cells in controlling blood glucose levels for greater than 64 weeks. Nonfasted blood glucose levels were measured following transplantation of iPSC-derived islet cells (5x10</w:t>
      </w:r>
      <w:r>
        <w:rPr>
          <w:rFonts w:ascii="Times New Roman" w:cs="Times New Roman" w:eastAsia="Times New Roman" w:hAnsi="Times New Roman"/>
          <w:sz w:val="20"/>
          <w:szCs w:val="20"/>
          <w:i w:val="1"/>
          <w:iCs w:val="1"/>
          <w:color w:val="231F20"/>
          <w:vertAlign w:val="superscript"/>
        </w:rPr>
        <w:t>6</w:t>
      </w:r>
      <w:r>
        <w:rPr>
          <w:rFonts w:ascii="Times New Roman" w:cs="Times New Roman" w:eastAsia="Times New Roman" w:hAnsi="Times New Roman"/>
          <w:sz w:val="16"/>
          <w:szCs w:val="16"/>
          <w:i w:val="1"/>
          <w:iCs w:val="1"/>
          <w:color w:val="231F20"/>
        </w:rPr>
        <w:t xml:space="preserve"> cells/mouse) into the right hindlimb muscle of immunodeficient NSG mice (n=5). Diabetes was induced by a five-day, low-dose (45 mg/kg) course of STZ beginning two weeks prior to transplantation. Diabetic (STZ) control mice did not receive iPSC-derived islet cells (n=2). Data is presented as mean ± S.E.M.</w:t>
      </w:r>
    </w:p>
    <w:p>
      <w:pPr>
        <w:spacing w:after="0" w:line="20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We are developing SC451, our HIP-modified iPSC-derived islet cell product candidate, to be available as an “off-the-shelf” allogeneic therapy that can be administered intramuscularly without immunosuppression.</w:t>
      </w:r>
    </w:p>
    <w:p>
      <w:pPr>
        <w:spacing w:after="0" w:line="16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Single-cell RNA sequencing analysis of our initial iPSC -derived islet cell differentiation process demonstrates consistent production of cell populations comprising approximately 60% beta cells, with the remainder consisting of other islet and neuroendocrine cells. Single-cell analysis confirms the absence of residual iPSCs in the final product.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studies indicate that HIP modification of iPSC-derived islet cells confers immune-evasive properties, which suggests potential utility in the transplantation setting without immunosuppression.</w:t>
      </w:r>
    </w:p>
    <w:p>
      <w:pPr>
        <w:spacing w:after="0" w:line="197"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Following intramuscular transplantation into diabetic mice, HIP-modified iPSC islet cells have demonstrated survival and function for greater than 64 weeks. Blood glucose normalization was observed within four weeks post-implantation and maintained throughout the study period. Analysis shows glucose-responsive human C-peptide production, indicating regulated insulin secretion. Histological examination at day 458 revealed preserved morphology, C-peptide content, vascularization, and CD47 expression. No tumor formation or other histologic abnormalities were observed throughout the study.</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780"/>
          </w:cols>
          <w:pgMar w:left="540" w:top="746" w:right="560" w:bottom="0" w:gutter="0" w:footer="0" w:header="0"/>
          <w:type w:val="continuous"/>
        </w:sectPr>
      </w:pPr>
    </w:p>
    <w:bookmarkStart w:id="30" w:name="page31"/>
    <w:bookmarkEnd w:id="30"/>
    <w:p>
      <w:pPr>
        <w:ind w:right="60" w:firstLine="540"/>
        <w:spacing w:after="0" w:line="242" w:lineRule="auto"/>
        <w:rPr>
          <w:sz w:val="20"/>
          <w:szCs w:val="20"/>
          <w:color w:val="auto"/>
        </w:rPr>
      </w:pPr>
      <w:r>
        <w:rPr>
          <w:rFonts w:ascii="Times New Roman" w:cs="Times New Roman" w:eastAsia="Times New Roman" w:hAnsi="Times New Roman"/>
          <w:sz w:val="20"/>
          <w:szCs w:val="20"/>
          <w:color w:val="231F20"/>
        </w:rPr>
        <w:t xml:space="preserve">In January 2025, we announced positive results from the IST at four weeks after cell transplantation, which demonstrated the survival and function of pancreatic beta cells as measured by the presence of circulating C-peptide, a biomarker indicating that transplanted beta cells are producing insulin. We subsequently shared updated data at twelve weeks, 26 weeks, and 52 weeks post-transplant, which show ongoing survival, function, and immune evasion of these transplanted beta cells. The 42-year-old recipient, who had been living with T1D for over 30 years, received a single transplant of UP421 into the muscle of the forearm. The primary endpoint of safety was achieved with no drug product-related adverse events reported. Prior to transplant, C-peptide levels were undetectable both in the non-fasting state and in response to a MMTT, which measures the ability of pancreatic beta cells to respond to a glucose bolus in the blood. Pancreatic beta cells produce pro-insulin, which is cleaved and secreted as insulin and C-peptide in a 1:1 ratio, making C-peptide a well-established biomarker of endogenous insulin production. Results of the study at four, twelve, 26, 38, and 52 weeks after cell transplantation demonstrate the survival and function of pancreatic beta cells as measured by the presence of circulating C-peptide. C-peptide levels also increase with an MMTT during testing at these timepoints, consistent with insulin secretion in response to a meal. PET/MRI scans at twelve weeks and 52 weeks post-transplant demonstrate uptake of a radiotracer consistent with pancreatic beta cells in the forearm muscle of the patient, a result consistent with ongoing graft survival. No inflammation or safety-related signals were observed. The twelve-week data were published in </w:t>
      </w:r>
      <w:r>
        <w:rPr>
          <w:rFonts w:ascii="Times New Roman" w:cs="Times New Roman" w:eastAsia="Times New Roman" w:hAnsi="Times New Roman"/>
          <w:sz w:val="20"/>
          <w:szCs w:val="20"/>
          <w:i w:val="1"/>
          <w:iCs w:val="1"/>
          <w:color w:val="231F20"/>
        </w:rPr>
        <w:t>The New England Journal of Medicine</w:t>
      </w:r>
      <w:r>
        <w:rPr>
          <w:rFonts w:ascii="Times New Roman" w:cs="Times New Roman" w:eastAsia="Times New Roman" w:hAnsi="Times New Roman"/>
          <w:sz w:val="20"/>
          <w:szCs w:val="20"/>
          <w:color w:val="231F20"/>
        </w:rPr>
        <w:t xml:space="preserve"> in September 2025.</w:t>
      </w:r>
    </w:p>
    <w:p>
      <w:pPr>
        <w:spacing w:after="0" w:line="21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The UP421 drug product contains a mixture of islet cell populations: wild-type (WT) islet cells expressing HLA class I and class II, double knockout (DKO) islet cells with HLA class I and class II eliminated, and HIP islet cells with both HLA class I and class II eliminated plus CD47 overexpression. The investigator ran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assays exploring whether the patient’s immune system, either specific cell types or in whole, recognized and killed these various cell populations from the drug product. WT islet cells triggered a robust immune response, with peak T cell activation at day seven following transplantation, followed by T cell-mediated killing, and development of donor-specific antibodies. DKO islet cells, while avoiding T cell activation and antibody responses, were rapidly eliminated by natural killer (NK) cells. In contrast, HIP islet cells demonstrated comprehensive immune evasion, with no evidence of T cell activation, donor-specific antibody development, or NK cell-mediated killing through 52 weeks. These distinct immune responses were further validated in whole blood assays, where HIP islet cells survived exposure to the patient's PBMCs while both WT and DKO islet cells were eliminated. To our knowledge, this study is the first example of successful transplantation with no immunosuppression into a person with an intact immune system to demonstrate survival and function of allogeneic cells. We believe these results with HIP-modified cells represent a significant milestone for the field of cell therapy. These cells not only had to overcome the typical rejection of allogeneic cells, they also needed to overcome the pre-existing autoimmune response to pancreatic beta cells. The results are a key landmark in our effort to develop SC451, our HIP modified stem cell-derived pancreatic islet cell product candidate, as an off-the-shelf cell therapy for patients with T1D.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231F20"/>
        </w:rPr>
        <w:t>Systemic Detection of C-peptide Levels Demonstrate UP421 Cell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164465</wp:posOffset>
            </wp:positionV>
            <wp:extent cx="4531995" cy="268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453199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 w:right="440"/>
        <w:spacing w:after="0" w:line="274" w:lineRule="auto"/>
        <w:rPr>
          <w:sz w:val="20"/>
          <w:szCs w:val="20"/>
          <w:color w:val="auto"/>
        </w:rPr>
      </w:pPr>
      <w:r>
        <w:rPr>
          <w:rFonts w:ascii="Times New Roman" w:cs="Times New Roman" w:eastAsia="Times New Roman" w:hAnsi="Times New Roman"/>
          <w:sz w:val="16"/>
          <w:szCs w:val="16"/>
          <w:i w:val="1"/>
          <w:iCs w:val="1"/>
          <w:color w:val="231F20"/>
        </w:rPr>
        <w:t>No detectable C-peptide before UP421 transplantation (dotted line: limit of detection). C-peptide is systemically detectable at day seven following UP421 transplantation and present to week 52, indicating survival of UP421 cells.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800"/>
          </w:cols>
          <w:pgMar w:left="540" w:top="750" w:right="540" w:bottom="0" w:gutter="0" w:footer="0" w:header="0"/>
          <w:type w:val="continuous"/>
        </w:sectPr>
      </w:pPr>
    </w:p>
    <w:bookmarkStart w:id="31" w:name="page32"/>
    <w:bookmarkEnd w:id="31"/>
    <w:p>
      <w:pPr>
        <w:ind w:left="340"/>
        <w:spacing w:after="0"/>
        <w:rPr>
          <w:sz w:val="20"/>
          <w:szCs w:val="20"/>
          <w:color w:val="auto"/>
        </w:rPr>
      </w:pPr>
      <w:r>
        <w:rPr>
          <w:rFonts w:ascii="Times New Roman" w:cs="Times New Roman" w:eastAsia="Times New Roman" w:hAnsi="Times New Roman"/>
          <w:sz w:val="20"/>
          <w:szCs w:val="20"/>
          <w:b w:val="1"/>
          <w:bCs w:val="1"/>
          <w:u w:val="single" w:color="auto"/>
          <w:color w:val="231F20"/>
        </w:rPr>
        <w:t>Increased C-peptide Levels with a Mixed Meal Tolerance Test Highlight UP421 Cell Survival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88265</wp:posOffset>
            </wp:positionV>
            <wp:extent cx="4587875" cy="280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458787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i w:val="1"/>
          <w:iCs w:val="1"/>
          <w:color w:val="231F20"/>
        </w:rPr>
        <w:t>Prior to UP421 transplantation, C-peptide was below the limit of detection during MMTT (grey line). At multiple measurement dates from weeks 4-52 post-transplantation, C-peptide is detectable and increases with MMTT stimulation, supporting ongoing survival and function of UP421 cells.</w:t>
      </w:r>
    </w:p>
    <w:p>
      <w:pPr>
        <w:spacing w:after="0" w:line="313" w:lineRule="exact"/>
        <w:rPr>
          <w:sz w:val="20"/>
          <w:szCs w:val="20"/>
          <w:color w:val="auto"/>
        </w:rPr>
      </w:pPr>
    </w:p>
    <w:p>
      <w:pPr>
        <w:ind w:left="80"/>
        <w:spacing w:after="0" w:line="230" w:lineRule="exact"/>
        <w:rPr>
          <w:sz w:val="20"/>
          <w:szCs w:val="20"/>
          <w:color w:val="auto"/>
        </w:rPr>
      </w:pPr>
      <w:r>
        <w:rPr>
          <w:rFonts w:ascii="Times New Roman" w:cs="Times New Roman" w:eastAsia="Times New Roman" w:hAnsi="Times New Roman"/>
          <w:sz w:val="20"/>
          <w:szCs w:val="20"/>
          <w:b w:val="1"/>
          <w:bCs w:val="1"/>
          <w:u w:val="single" w:color="auto"/>
          <w:color w:val="231F20"/>
        </w:rPr>
        <w:t>PET/MRI Imaging Shows Localization of UP421 Graft and Uptake of GLP</w:t>
      </w:r>
      <w:r>
        <w:rPr>
          <w:rFonts w:ascii="MS Gothic" w:cs="MS Gothic" w:eastAsia="MS Gothic" w:hAnsi="MS Gothic"/>
          <w:sz w:val="20"/>
          <w:szCs w:val="20"/>
          <w:b w:val="1"/>
          <w:bCs w:val="1"/>
          <w:u w:val="single" w:color="auto"/>
          <w:color w:val="231F20"/>
        </w:rPr>
        <w:t>̻</w:t>
      </w:r>
      <w:r>
        <w:rPr>
          <w:rFonts w:ascii="Times New Roman" w:cs="Times New Roman" w:eastAsia="Times New Roman" w:hAnsi="Times New Roman"/>
          <w:sz w:val="20"/>
          <w:szCs w:val="20"/>
          <w:b w:val="1"/>
          <w:bCs w:val="1"/>
          <w:u w:val="single" w:color="auto"/>
          <w:color w:val="231F20"/>
        </w:rPr>
        <w:t>1R-Specific Tracer, Week 12 and Week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175895</wp:posOffset>
            </wp:positionV>
            <wp:extent cx="5939155" cy="2958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593915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i w:val="1"/>
          <w:iCs w:val="1"/>
          <w:color w:val="231F20"/>
        </w:rPr>
        <w:t>PET/MRI images of the forearm following intramuscular administration of UP421. MR T2</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STIR</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weighted imaging demonstrates localized signal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musculus brachioradialis at the injection site, consistent with visualization of the transplanted cell graft. PET/MRI imaging shows uptake of an</w:t>
      </w:r>
    </w:p>
    <w:p>
      <w:pPr>
        <w:spacing w:after="0" w:line="1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i w:val="1"/>
          <w:iCs w:val="1"/>
          <w:color w:val="231F20"/>
        </w:rPr>
        <w:t>Exendin</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4–based tracer specific for glucagon</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like peptide</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1 receptor (GLP</w:t>
      </w:r>
      <w:r>
        <w:rPr>
          <w:rFonts w:ascii="MS Gothic" w:cs="MS Gothic" w:eastAsia="MS Gothic" w:hAnsi="MS Gothic"/>
          <w:sz w:val="16"/>
          <w:szCs w:val="16"/>
          <w:i w:val="1"/>
          <w:iCs w:val="1"/>
          <w:color w:val="231F20"/>
        </w:rPr>
        <w:t>̻</w:t>
      </w:r>
      <w:r>
        <w:rPr>
          <w:rFonts w:ascii="Times New Roman" w:cs="Times New Roman" w:eastAsia="Times New Roman" w:hAnsi="Times New Roman"/>
          <w:sz w:val="16"/>
          <w:szCs w:val="16"/>
          <w:i w:val="1"/>
          <w:iCs w:val="1"/>
          <w:color w:val="231F20"/>
        </w:rPr>
        <w:t>1R)-positive cells at the same location, consistent with pancreatic beta cell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survival in the forearm.</w:t>
      </w:r>
    </w:p>
    <w:p>
      <w:pPr>
        <w:sectPr>
          <w:pgSz w:w="11880" w:h="15480" w:orient="portrait"/>
          <w:cols w:equalWidth="0" w:num="1">
            <w:col w:w="10200"/>
          </w:cols>
          <w:pgMar w:left="1040" w:top="74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200"/>
          </w:cols>
          <w:pgMar w:left="1040" w:top="746" w:right="640" w:bottom="0" w:gutter="0" w:footer="0" w:header="0"/>
          <w:type w:val="continuous"/>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231F20"/>
        </w:rPr>
        <w:t>Unmodified Islet Cells Do Not Evade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91440</wp:posOffset>
            </wp:positionV>
            <wp:extent cx="3282315" cy="3009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328231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6"/>
          <w:szCs w:val="16"/>
          <w:i w:val="1"/>
          <w:iCs w:val="1"/>
          <w:color w:val="231F20"/>
        </w:rPr>
        <w:t>In vitro assay testing exposure of patient blood drawn over time to wild-type, or unmodified, cells from UP421. There is no baseline immune response to these unmodified cells, but one rapidly develops within days (data not shown above) and is maintained over twelve months, with both a T cell and antibody response to these cells (data not shown).</w:t>
      </w: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231F20"/>
        </w:rPr>
        <w:t>dKO Islet Cells are Killed by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89535</wp:posOffset>
            </wp:positionV>
            <wp:extent cx="3572510" cy="3276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357251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231F20"/>
        </w:rPr>
        <w:t>In vitro assay testing exposure of patient blood drawn over time to the cell population within UP421 with successful knock-out of MHC class I and MHC class II, but no overexpression of CD47. There is a baseline immune response and killing of these cells, which is maintained over 52 weeks, which is mediated by NK cells (data not shown).</w:t>
      </w:r>
    </w:p>
    <w:p>
      <w:pPr>
        <w:sectPr>
          <w:pgSz w:w="11880" w:h="15480" w:orient="portrait"/>
          <w:cols w:equalWidth="0" w:num="1">
            <w:col w:w="10220"/>
          </w:cols>
          <w:pgMar w:left="1040" w:top="74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220"/>
          </w:cols>
          <w:pgMar w:left="1040" w:top="746" w:right="620" w:bottom="0" w:gutter="0" w:footer="0" w:header="0"/>
          <w:type w:val="continuous"/>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231F20"/>
        </w:rPr>
        <w:t>HIP Islet Cells Evade T Cell, B Cell, and NK Cell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89535</wp:posOffset>
            </wp:positionV>
            <wp:extent cx="3822065" cy="3505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382206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right="760"/>
        <w:spacing w:after="0" w:line="274" w:lineRule="auto"/>
        <w:rPr>
          <w:sz w:val="20"/>
          <w:szCs w:val="20"/>
          <w:color w:val="auto"/>
        </w:rPr>
      </w:pPr>
      <w:r>
        <w:rPr>
          <w:rFonts w:ascii="Times New Roman" w:cs="Times New Roman" w:eastAsia="Times New Roman" w:hAnsi="Times New Roman"/>
          <w:sz w:val="16"/>
          <w:szCs w:val="16"/>
          <w:i w:val="1"/>
          <w:iCs w:val="1"/>
          <w:color w:val="231F20"/>
        </w:rPr>
        <w:t>In vitro assay testing exposure of patient blood drawn over time to the cell population within UP421 with successful incorporation of all of the HIP modifications. There is no baseline immune response to these cells, and no immune response develops over the course of 52 weeks.</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Next Steps</w:t>
      </w:r>
    </w:p>
    <w:p>
      <w:pPr>
        <w:spacing w:after="0" w:line="11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We are transferring our manufacturing process to GMP facilities and completing our preclinical testing of SC451. We expect to submit an IND and begin our Phase 1 clinical trial for SC451 as early as this year.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Our </w:t>
      </w:r>
      <w:r>
        <w:rPr>
          <w:rFonts w:ascii="Times New Roman" w:cs="Times New Roman" w:eastAsia="Times New Roman" w:hAnsi="Times New Roman"/>
          <w:sz w:val="20"/>
          <w:szCs w:val="20"/>
          <w:b w:val="1"/>
          <w:bCs w:val="1"/>
          <w:i w:val="1"/>
          <w:iCs w:val="1"/>
          <w:color w:val="231F20"/>
        </w:rPr>
        <w:t>in vivo</w:t>
      </w:r>
      <w:r>
        <w:rPr>
          <w:rFonts w:ascii="Times New Roman" w:cs="Times New Roman" w:eastAsia="Times New Roman" w:hAnsi="Times New Roman"/>
          <w:sz w:val="20"/>
          <w:szCs w:val="20"/>
          <w:b w:val="1"/>
          <w:bCs w:val="1"/>
          <w:color w:val="231F20"/>
        </w:rPr>
        <w:t xml:space="preserve"> Cell Engineering Platform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In vivo </w:t>
      </w:r>
      <w:r>
        <w:rPr>
          <w:rFonts w:ascii="Times New Roman" w:cs="Times New Roman" w:eastAsia="Times New Roman" w:hAnsi="Times New Roman"/>
          <w:sz w:val="20"/>
          <w:szCs w:val="20"/>
          <w:color w:val="231F20"/>
        </w:rPr>
        <w:t>cell engineering aims to treat human disease by delivering a therapeutic payload to cells inside a patient’s body to repair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or control genes. Historically there have been four key goals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w:t>
      </w:r>
    </w:p>
    <w:p>
      <w:pPr>
        <w:spacing w:after="0" w:line="64"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Delivering any payload (such as DNA, RNA, proteins, organelles, integrating versus non-integrating, size),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to any cell (by increasing the volume of distribution),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in a specific (for instance just T cells),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repeatable way (such as achieving limited immunogenicity to allow re-dosing).</w:t>
      </w:r>
    </w:p>
    <w:p>
      <w:pPr>
        <w:spacing w:after="0" w:line="23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 is focused on engineering fusogens that, when combined with delivery vehicles, can effectively deliver a payload to a desired cell or location in the appropriate quantities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We believe our platform provides us with the flexibility to deliver a wide range of payloads to make different modifications for different diseases, as well as delivery vehicle options to address volume of distribution and re-dosing, which could fundamentally expand the treatment potential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therapies.</w:t>
      </w:r>
    </w:p>
    <w:p>
      <w:pPr>
        <w:sectPr>
          <w:pgSz w:w="11880" w:h="15480" w:orient="portrait"/>
          <w:cols w:equalWidth="0" w:num="1">
            <w:col w:w="10700"/>
          </w:cols>
          <w:pgMar w:left="540" w:top="74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700"/>
          </w:cols>
          <w:pgMar w:left="540" w:top="746" w:right="64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231F20"/>
        </w:rPr>
        <w:t>Our Approach to Building Our in vivo Cell Engineering Platform</w:t>
      </w:r>
    </w:p>
    <w:p>
      <w:pPr>
        <w:spacing w:after="0" w:line="120"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We have approached the development of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 by investing in solutions to overcome the key challenges outlined above:</w:t>
      </w:r>
    </w:p>
    <w:p>
      <w:pPr>
        <w:spacing w:after="0" w:line="60" w:lineRule="exact"/>
        <w:rPr>
          <w:sz w:val="20"/>
          <w:szCs w:val="20"/>
          <w:color w:val="auto"/>
        </w:rPr>
      </w:pPr>
    </w:p>
    <w:p>
      <w:pPr>
        <w:ind w:left="980" w:right="300" w:hanging="490"/>
        <w:spacing w:after="0" w:line="260"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Delivery</w:t>
      </w:r>
      <w:r>
        <w:rPr>
          <w:rFonts w:ascii="Times New Roman" w:cs="Times New Roman" w:eastAsia="Times New Roman" w:hAnsi="Times New Roman"/>
          <w:sz w:val="20"/>
          <w:szCs w:val="20"/>
          <w:color w:val="231F20"/>
        </w:rPr>
        <w:t>. We believe the critical limitation for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cell engineering is delivery, and therefore, we are investing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significantly in delivery technologies, including our fusogen technology, which is designed to enable both cell-specific delivery and delivery of diverse payloads.</w:t>
      </w:r>
    </w:p>
    <w:p>
      <w:pPr>
        <w:spacing w:after="0" w:line="76" w:lineRule="exact"/>
        <w:rPr>
          <w:rFonts w:ascii="Arial" w:cs="Arial" w:eastAsia="Arial" w:hAnsi="Arial"/>
          <w:sz w:val="20"/>
          <w:szCs w:val="20"/>
          <w:color w:val="231F20"/>
        </w:rPr>
      </w:pPr>
    </w:p>
    <w:p>
      <w:pPr>
        <w:ind w:left="980" w:right="80" w:hanging="490"/>
        <w:spacing w:after="0" w:line="253"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Gene modification</w:t>
      </w:r>
      <w:r>
        <w:rPr>
          <w:rFonts w:ascii="Times New Roman" w:cs="Times New Roman" w:eastAsia="Times New Roman" w:hAnsi="Times New Roman"/>
          <w:sz w:val="20"/>
          <w:szCs w:val="20"/>
          <w:color w:val="231F20"/>
        </w:rPr>
        <w:t>. There has been substantial recent progress in gene modification and the field is now at the point at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which virtually any desired modification can be performed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However, no single technology or platform is optimal for all possible applications. To this end, we are developing capabilities across multiple technologies and investing to develop our own novel technologies to be applied on a case-by-case basis.</w:t>
      </w:r>
    </w:p>
    <w:p>
      <w:pPr>
        <w:spacing w:after="0" w:line="83" w:lineRule="exact"/>
        <w:rPr>
          <w:rFonts w:ascii="Arial" w:cs="Arial" w:eastAsia="Arial" w:hAnsi="Arial"/>
          <w:sz w:val="20"/>
          <w:szCs w:val="20"/>
          <w:color w:val="231F20"/>
        </w:rPr>
      </w:pPr>
    </w:p>
    <w:p>
      <w:pPr>
        <w:ind w:left="980" w:hanging="490"/>
        <w:spacing w:after="0" w:line="260"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Manufacturing</w:t>
      </w:r>
      <w:r>
        <w:rPr>
          <w:rFonts w:ascii="Times New Roman" w:cs="Times New Roman" w:eastAsia="Times New Roman" w:hAnsi="Times New Roman"/>
          <w:sz w:val="20"/>
          <w:szCs w:val="20"/>
          <w:color w:val="231F20"/>
        </w:rPr>
        <w:t>. We are investing proactively in process development, analytical development, chemistry, manufacturing,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and controls (CMC) regulatory, supply chain, quality, and other manufacturing sciences in order to enable scalable manufacturing of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therapies and ensure broad access.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have prioritized cell types for our programs when:</w:t>
      </w:r>
    </w:p>
    <w:p>
      <w:pPr>
        <w:spacing w:after="0" w:line="134" w:lineRule="exact"/>
        <w:rPr>
          <w:sz w:val="20"/>
          <w:szCs w:val="20"/>
          <w:color w:val="auto"/>
        </w:rPr>
      </w:pPr>
    </w:p>
    <w:p>
      <w:pPr>
        <w:ind w:left="980" w:right="22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existing proof of concept in humans and animal models demonstrates that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should have a clinical benefit;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high unmet need can be addressed by modifying a particular cell type;</w:t>
      </w:r>
    </w:p>
    <w:p>
      <w:pPr>
        <w:spacing w:after="0" w:line="133"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delivery is the most critical bottleneck, such that delivering payloads specifically to the target cell type could lead to highly differentiated and transformative therapeutics;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an opportunity to apply the technology more broadly exists, which creates the potential for more medicines if successful.</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Based on this prioritization, we are initially focused on T cells.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History of in vivo Cell Engineering and Current Limitations</w:t>
      </w:r>
    </w:p>
    <w:p>
      <w:pPr>
        <w:spacing w:after="0" w:line="112" w:lineRule="exact"/>
        <w:rPr>
          <w:sz w:val="20"/>
          <w:szCs w:val="20"/>
          <w:color w:val="auto"/>
        </w:rPr>
      </w:pPr>
    </w:p>
    <w:p>
      <w:pPr>
        <w:ind w:right="160" w:firstLine="446"/>
        <w:spacing w:after="0" w:line="236" w:lineRule="auto"/>
        <w:rPr>
          <w:sz w:val="20"/>
          <w:szCs w:val="20"/>
          <w:color w:val="auto"/>
        </w:rPr>
      </w:pPr>
      <w:r>
        <w:rPr>
          <w:rFonts w:ascii="Times New Roman" w:cs="Times New Roman" w:eastAsia="Times New Roman" w:hAnsi="Times New Roman"/>
          <w:sz w:val="20"/>
          <w:szCs w:val="20"/>
          <w:color w:val="231F20"/>
        </w:rPr>
        <w:t xml:space="preserve">The gene therapy field began decades ago with experiments on transmitting genetic payloads via viral vectors. Despite significant investments improving viral vector safety and efficacy, most approaches still adapt viruses' innate payload transmission capabilities. Although profound benefits have been realized when therapeutic biological activity directly correlates with missing genetic activity—particularly using Adeno-Associated Virus (AAV) vectors prized for their broad tissue tropism and ability to target both dividing and non-dividing cells—these therapies have only scratched the surface of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engineering's potential, with success limited to a small number of patients. The broader impact of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therapies has been limited by challenges related to payload delivery, genome modification, and manufacturing execution.</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 xml:space="preserve">Payload delivery </w:t>
      </w:r>
      <w:r>
        <w:rPr>
          <w:rFonts w:ascii="Times New Roman" w:cs="Times New Roman" w:eastAsia="Times New Roman" w:hAnsi="Times New Roman"/>
          <w:sz w:val="20"/>
          <w:szCs w:val="20"/>
          <w:color w:val="231F20"/>
        </w:rPr>
        <w:t>in gene therapy faces several critical challenges:</w:t>
      </w:r>
    </w:p>
    <w:p>
      <w:pPr>
        <w:spacing w:after="0" w:line="130" w:lineRule="exact"/>
        <w:rPr>
          <w:sz w:val="20"/>
          <w:szCs w:val="20"/>
          <w:color w:val="auto"/>
        </w:rPr>
      </w:pPr>
    </w:p>
    <w:p>
      <w:pPr>
        <w:ind w:left="980" w:right="60" w:hanging="490"/>
        <w:spacing w:after="0" w:line="250"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Limited cell specificity</w:t>
      </w:r>
      <w:r>
        <w:rPr>
          <w:rFonts w:ascii="Times New Roman" w:cs="Times New Roman" w:eastAsia="Times New Roman" w:hAnsi="Times New Roman"/>
          <w:sz w:val="20"/>
          <w:szCs w:val="20"/>
          <w:color w:val="231F20"/>
        </w:rPr>
        <w:t>: Commonly used AAV vectors have broad tissue specificities, making it difficult to target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specific cells and potentially causing toxicity in non-target cells. Lipid nanoparticles (LNPs) typically target cells expressing the LDL receptor, making them both non-specific and mainly absorbed by hepatocytes in the liver when dosed systemically. Recent progress in re-targeting LNPs may allow for better delivery to cells beyond the liver, although meaningful liver absorption likely occurs.</w:t>
      </w:r>
    </w:p>
    <w:p>
      <w:pPr>
        <w:spacing w:after="0" w:line="85" w:lineRule="exact"/>
        <w:rPr>
          <w:rFonts w:ascii="Arial" w:cs="Arial" w:eastAsia="Arial" w:hAnsi="Arial"/>
          <w:sz w:val="20"/>
          <w:szCs w:val="20"/>
          <w:color w:val="231F20"/>
        </w:rPr>
      </w:pPr>
    </w:p>
    <w:p>
      <w:pPr>
        <w:ind w:left="980" w:right="160" w:hanging="490"/>
        <w:spacing w:after="0" w:line="281"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Limited volume of distribution</w:t>
      </w:r>
      <w:r>
        <w:rPr>
          <w:rFonts w:ascii="Times New Roman" w:cs="Times New Roman" w:eastAsia="Times New Roman" w:hAnsi="Times New Roman"/>
          <w:sz w:val="20"/>
          <w:szCs w:val="20"/>
          <w:color w:val="231F20"/>
        </w:rPr>
        <w:t>: Even when using AAV vectors for systemic delivery, therapeutically important targets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like central nervous system cells see only limited transduction.</w:t>
      </w:r>
    </w:p>
    <w:p>
      <w:pPr>
        <w:spacing w:after="0" w:line="54" w:lineRule="exact"/>
        <w:rPr>
          <w:rFonts w:ascii="Arial" w:cs="Arial" w:eastAsia="Arial" w:hAnsi="Arial"/>
          <w:sz w:val="20"/>
          <w:szCs w:val="20"/>
          <w:color w:val="231F20"/>
        </w:rPr>
      </w:pPr>
    </w:p>
    <w:p>
      <w:pPr>
        <w:ind w:left="980" w:right="500" w:hanging="490"/>
        <w:spacing w:after="0" w:line="281"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Immunogenicity</w:t>
      </w:r>
      <w:r>
        <w:rPr>
          <w:rFonts w:ascii="Times New Roman" w:cs="Times New Roman" w:eastAsia="Times New Roman" w:hAnsi="Times New Roman"/>
          <w:sz w:val="20"/>
          <w:szCs w:val="20"/>
          <w:color w:val="231F20"/>
        </w:rPr>
        <w:t>: Viral vectors trigger immune responses that attack the vector, with pre-existing antibodies further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limiting efficacy and often preventing re-dosing opportunities.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 xml:space="preserve">Genome modification </w:t>
      </w:r>
      <w:r>
        <w:rPr>
          <w:rFonts w:ascii="Times New Roman" w:cs="Times New Roman" w:eastAsia="Times New Roman" w:hAnsi="Times New Roman"/>
          <w:sz w:val="20"/>
          <w:szCs w:val="20"/>
          <w:color w:val="231F20"/>
        </w:rPr>
        <w:t>challenges include:</w:t>
      </w:r>
    </w:p>
    <w:p>
      <w:pPr>
        <w:spacing w:after="0" w:line="130" w:lineRule="exact"/>
        <w:rPr>
          <w:sz w:val="20"/>
          <w:szCs w:val="20"/>
          <w:color w:val="auto"/>
        </w:rPr>
      </w:pPr>
    </w:p>
    <w:p>
      <w:pPr>
        <w:ind w:left="980" w:right="60" w:hanging="490"/>
        <w:spacing w:after="0" w:line="260"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Payload size and type restrictions</w:t>
      </w:r>
      <w:r>
        <w:rPr>
          <w:rFonts w:ascii="Times New Roman" w:cs="Times New Roman" w:eastAsia="Times New Roman" w:hAnsi="Times New Roman"/>
          <w:sz w:val="20"/>
          <w:szCs w:val="20"/>
          <w:color w:val="231F20"/>
        </w:rPr>
        <w:t>: The natural genome size of viral vectors (e.g., AAV's maximum capacity of 4.5-5kb)</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is insufficient for many disease targets that require larger payloads or gene editing machinery. Payloads with LNPs are typically even more limited.</w:t>
      </w:r>
    </w:p>
    <w:p>
      <w:pPr>
        <w:spacing w:after="0" w:line="76" w:lineRule="exact"/>
        <w:rPr>
          <w:rFonts w:ascii="Arial" w:cs="Arial" w:eastAsia="Arial" w:hAnsi="Arial"/>
          <w:sz w:val="20"/>
          <w:szCs w:val="20"/>
          <w:color w:val="231F20"/>
        </w:rPr>
      </w:pPr>
    </w:p>
    <w:p>
      <w:pPr>
        <w:ind w:left="980" w:right="700" w:hanging="490"/>
        <w:spacing w:after="0" w:line="281"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Durability limitations</w:t>
      </w:r>
      <w:r>
        <w:rPr>
          <w:rFonts w:ascii="Times New Roman" w:cs="Times New Roman" w:eastAsia="Times New Roman" w:hAnsi="Times New Roman"/>
          <w:sz w:val="20"/>
          <w:szCs w:val="20"/>
          <w:color w:val="231F20"/>
        </w:rPr>
        <w:t>: Immune reactions, silencing of vector expression, and gradual loss of vector sequences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replicating cells compromise long-term therapeutic effects.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800"/>
          </w:cols>
          <w:pgMar w:left="540" w:top="750" w:right="540" w:bottom="0" w:gutter="0" w:footer="0" w:header="0"/>
          <w:type w:val="continuous"/>
        </w:sectPr>
      </w:pPr>
    </w:p>
    <w:bookmarkStart w:id="35" w:name="page36"/>
    <w:bookmarkEnd w:id="35"/>
    <w:p>
      <w:pPr>
        <w:ind w:left="980" w:right="240" w:hanging="490"/>
        <w:spacing w:after="0" w:line="260"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Payload type constraints</w:t>
      </w:r>
      <w:r>
        <w:rPr>
          <w:rFonts w:ascii="Times New Roman" w:cs="Times New Roman" w:eastAsia="Times New Roman" w:hAnsi="Times New Roman"/>
          <w:sz w:val="20"/>
          <w:szCs w:val="20"/>
          <w:color w:val="231F20"/>
        </w:rPr>
        <w:t>: Both viral and non-viral delivery methods face constraints on the types of genetic material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they can effectively transport. Non-viral delivery with LNPs has largely been limited to RNA and proteins to date, with scant evidence for DNA delivery.</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 xml:space="preserve">Manufacturing execution </w:t>
      </w:r>
      <w:r>
        <w:rPr>
          <w:rFonts w:ascii="Times New Roman" w:cs="Times New Roman" w:eastAsia="Times New Roman" w:hAnsi="Times New Roman"/>
          <w:sz w:val="20"/>
          <w:szCs w:val="20"/>
          <w:color w:val="231F20"/>
        </w:rPr>
        <w:t>faces substantial hurdles:</w:t>
      </w:r>
    </w:p>
    <w:p>
      <w:pPr>
        <w:spacing w:after="0" w:line="130" w:lineRule="exact"/>
        <w:rPr>
          <w:sz w:val="20"/>
          <w:szCs w:val="20"/>
          <w:color w:val="auto"/>
        </w:rPr>
      </w:pPr>
    </w:p>
    <w:p>
      <w:pPr>
        <w:ind w:left="980" w:right="380" w:hanging="490"/>
        <w:spacing w:after="0" w:line="281"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Complex manufacturing processes</w:t>
      </w:r>
      <w:r>
        <w:rPr>
          <w:rFonts w:ascii="Times New Roman" w:cs="Times New Roman" w:eastAsia="Times New Roman" w:hAnsi="Times New Roman"/>
          <w:sz w:val="20"/>
          <w:szCs w:val="20"/>
          <w:color w:val="231F20"/>
        </w:rPr>
        <w:t>: Viral vector-based therapies are significantly more difficult to characterize,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control compared to recombinant proteins and antibodies.</w:t>
      </w:r>
    </w:p>
    <w:p>
      <w:pPr>
        <w:spacing w:after="0" w:line="54" w:lineRule="exact"/>
        <w:rPr>
          <w:rFonts w:ascii="Arial" w:cs="Arial" w:eastAsia="Arial" w:hAnsi="Arial"/>
          <w:sz w:val="20"/>
          <w:szCs w:val="20"/>
          <w:color w:val="231F20"/>
        </w:rPr>
      </w:pPr>
    </w:p>
    <w:p>
      <w:pPr>
        <w:ind w:left="980" w:right="800" w:hanging="490"/>
        <w:spacing w:after="0" w:line="281"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Limited scale-up capabilities</w:t>
      </w:r>
      <w:r>
        <w:rPr>
          <w:rFonts w:ascii="Times New Roman" w:cs="Times New Roman" w:eastAsia="Times New Roman" w:hAnsi="Times New Roman"/>
          <w:sz w:val="20"/>
          <w:szCs w:val="20"/>
          <w:color w:val="231F20"/>
        </w:rPr>
        <w:t>: Process and analytical sciences that enable meaningful scale-up lag behind other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biologically-derived modalities.</w:t>
      </w:r>
    </w:p>
    <w:p>
      <w:pPr>
        <w:spacing w:after="0" w:line="54" w:lineRule="exact"/>
        <w:rPr>
          <w:rFonts w:ascii="Arial" w:cs="Arial" w:eastAsia="Arial" w:hAnsi="Arial"/>
          <w:sz w:val="20"/>
          <w:szCs w:val="20"/>
          <w:color w:val="231F20"/>
        </w:rPr>
      </w:pPr>
    </w:p>
    <w:p>
      <w:pPr>
        <w:ind w:left="980" w:right="840" w:hanging="490"/>
        <w:spacing w:after="0" w:line="281"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Restricted yield and access</w:t>
      </w:r>
      <w:r>
        <w:rPr>
          <w:rFonts w:ascii="Times New Roman" w:cs="Times New Roman" w:eastAsia="Times New Roman" w:hAnsi="Times New Roman"/>
          <w:sz w:val="20"/>
          <w:szCs w:val="20"/>
          <w:color w:val="231F20"/>
        </w:rPr>
        <w:t>: Current vector manufacturing limitations ultimately restrict patient access to these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potentially transformative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Solution – Fusogen Technology</w:t>
      </w:r>
    </w:p>
    <w:p>
      <w:pPr>
        <w:spacing w:after="0" w:line="120" w:lineRule="exact"/>
        <w:rPr>
          <w:sz w:val="20"/>
          <w:szCs w:val="20"/>
          <w:color w:val="auto"/>
        </w:rPr>
      </w:pPr>
    </w:p>
    <w:p>
      <w:pPr>
        <w:ind w:right="96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To address some of the existing challenges of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we are developing our fusogen technology by engineering proteins found in nature to enable the delivery of any payload to specific cells.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Background on Fusogens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Fusogens are a well-studied class of naturally occurring proteins that mediate the trillions of cell-to-cell and intracellular fusion events occurring in the human body every second. In 2013, the Nobel Prize in Physiology or Medicine was awarded for the elucidation of the roles of fusogens in mediating intracellular trafficking in nature. First, fusogens enable recognition of a specific target membrane. Second, they promote membrane fusion by acting as thermodynamic engines for opposing membranes, pulling them together and thereby promoting fusion.</w:t>
      </w:r>
    </w:p>
    <w:p>
      <w:pPr>
        <w:spacing w:after="0" w:line="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u w:val="single" w:color="auto"/>
          <w:color w:val="231F20"/>
        </w:rPr>
        <w:t>Our Fusogen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189230</wp:posOffset>
            </wp:positionV>
            <wp:extent cx="3308985" cy="3303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3308985" cy="330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Fusogens are widely used by enveloped viruses to confer target specificity and to drive the process of introducing material in target cells. A well-known current example of a viral fusogen is found in the SARS-CoV-2 coronavirus that causes COVID-19. This virus uses its spike glycoprotein to target cells expressing the ACE2 receptor and to fuse with the cell membrane of host cells and release the viral genome into the cell. Many other biological processes using fusogens for the delivery of complex, diverse, and large payloads to specific cell types have also been found. For example, the process of fertilization occurs as a result of a sperm fusing specifically with the egg and the transfer of the paternal genetic material to the oocyte. Similarly, the fusion of myoblasts with other myoblasts is essential for the formation, growth, and regeneration of skeletal muscle. The myoblast delivers an entire novel nucleus to</w:t>
      </w:r>
    </w:p>
    <w:p>
      <w:pPr>
        <w:sectPr>
          <w:pgSz w:w="11880" w:h="15480" w:orient="portrait"/>
          <w:cols w:equalWidth="0" w:num="1">
            <w:col w:w="10780"/>
          </w:cols>
          <w:pgMar w:left="540" w:top="760" w:right="56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780"/>
          </w:cols>
          <w:pgMar w:left="540" w:top="760" w:right="560" w:bottom="0" w:gutter="0" w:footer="0" w:header="0"/>
          <w:type w:val="continuous"/>
        </w:sectPr>
      </w:pPr>
    </w:p>
    <w:bookmarkStart w:id="36" w:name="page37"/>
    <w:bookmarkEnd w:id="36"/>
    <w:p>
      <w:pPr>
        <w:ind w:right="620"/>
        <w:spacing w:after="0" w:line="277" w:lineRule="auto"/>
        <w:rPr>
          <w:sz w:val="20"/>
          <w:szCs w:val="20"/>
          <w:color w:val="auto"/>
        </w:rPr>
      </w:pPr>
      <w:r>
        <w:rPr>
          <w:rFonts w:ascii="Times New Roman" w:cs="Times New Roman" w:eastAsia="Times New Roman" w:hAnsi="Times New Roman"/>
          <w:sz w:val="20"/>
          <w:szCs w:val="20"/>
          <w:color w:val="231F20"/>
        </w:rPr>
        <w:t>the muscle cell, highlighting the utility of this system to deliver quite large and complex payloads. These and a myriad of other processes rely on this vast class of protein machines.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Applying Fusogens to in vivo Cell Engineering</w:t>
      </w:r>
    </w:p>
    <w:p>
      <w:pPr>
        <w:spacing w:after="0" w:line="118"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Building on both our team’s deep understanding of fusogen biology and research in protein engineering, we are developing a technology designed to allow us to engineer the biological properties of these naturally occurring proteins. In doing so, we are developing a modular system that can specifically target numerous cell surface receptors and thereby deliver diverse therapeutic payloads to a variety of cell types.</w:t>
      </w:r>
    </w:p>
    <w:p>
      <w:pPr>
        <w:spacing w:after="0" w:line="194"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231F20"/>
        </w:rPr>
        <w:t>Our current program uses fusogens derived from several viruses from the paramyxoviridae family. The fusogen protein complexes in this family are comprised of two proteins: the receptor recognition G protein and membrane fusion F protein. The combination of a fusogen with a delivery vehicle such as a gene therapy vector or lipid vesicle is referred to as a fusosome.</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diagram below depicts the mechanism of fusogen-mediated membrane fusion. This protein complex is found on the outer membrane of the fusosome (1). As the fusosome interacts with cells, only those with the target receptor will engage the G protein of the fusogen complex (2). The binding of the G protein to the receptor stimulates the F protein to initiate its membrane fusion activity. The F protein first partially unfolds to bind to the target membrane (3) and then refolds to bring the target and fusosome membranes in proximity (4), to ultimately promote membrane fusion (5), and subsequent payload delivery. This mechanism allows for endosome-independent delivery of the payload, a key differentiating factor versus many other systems, described in more detail below.</w:t>
      </w:r>
    </w:p>
    <w:p>
      <w:pPr>
        <w:spacing w:after="0" w:line="19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u w:val="single" w:color="auto"/>
          <w:color w:val="231F20"/>
        </w:rPr>
        <w:t>Mechanism of Fusogen-Mediated Membrane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83185</wp:posOffset>
            </wp:positionV>
            <wp:extent cx="4225925" cy="4220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4225925" cy="422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0" w:firstLine="490"/>
        <w:spacing w:after="0" w:line="236" w:lineRule="auto"/>
        <w:rPr>
          <w:sz w:val="20"/>
          <w:szCs w:val="20"/>
          <w:color w:val="auto"/>
        </w:rPr>
      </w:pPr>
      <w:r>
        <w:rPr>
          <w:rFonts w:ascii="Times New Roman" w:cs="Times New Roman" w:eastAsia="Times New Roman" w:hAnsi="Times New Roman"/>
          <w:sz w:val="20"/>
          <w:szCs w:val="20"/>
          <w:color w:val="231F20"/>
        </w:rPr>
        <w:t>The G protein can be engineered for a high degree of cell selectivity. To accomplish this, we first engineer the G protein so that its natural binding domain is no longer functional. We then add a targeting scaffold to the G protein that re- directs the fusogen to a cell-specific receptor. The targeting scaffold can be any one of naturally occurring or synthetic single chain affinity binders, such as single chain variable fragment (scFvs), camelid single-domain antibodies (VHHs), or designed ankyrin repeat proteins (DARPins). Finally, we iteratively rebuild our fusogen using insights from protein engineering to improve titers, or potency. By serially swapping different targeting scaffolds, we believe we can target multiple different cell surface receptors, giving us the ability to target many different cell types.</w:t>
      </w:r>
    </w:p>
    <w:p>
      <w:pPr>
        <w:sectPr>
          <w:pgSz w:w="11880" w:h="15480" w:orient="portrait"/>
          <w:cols w:equalWidth="0" w:num="1">
            <w:col w:w="10780"/>
          </w:cols>
          <w:pgMar w:left="540" w:top="750" w:right="560" w:bottom="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780"/>
          </w:cols>
          <w:pgMar w:left="540" w:top="750" w:right="560" w:bottom="0" w:gutter="0" w:footer="0" w:header="0"/>
          <w:type w:val="continuous"/>
        </w:sectPr>
      </w:pPr>
    </w:p>
    <w:bookmarkStart w:id="37" w:name="page38"/>
    <w:bookmarkEnd w:id="37"/>
    <w:p>
      <w:pPr>
        <w:ind w:right="80" w:firstLine="490"/>
        <w:spacing w:after="0" w:line="237" w:lineRule="auto"/>
        <w:rPr>
          <w:sz w:val="20"/>
          <w:szCs w:val="20"/>
          <w:color w:val="auto"/>
        </w:rPr>
      </w:pPr>
      <w:r>
        <w:rPr>
          <w:rFonts w:ascii="Times New Roman" w:cs="Times New Roman" w:eastAsia="Times New Roman" w:hAnsi="Times New Roman"/>
          <w:sz w:val="20"/>
          <w:szCs w:val="20"/>
          <w:color w:val="231F20"/>
        </w:rPr>
        <w:t>Re-targeting the specificity of the G protein is a challenging protein engineering problem because altering the protein structure directly impacts all aspects of biological function. However, once we have achieved the desired specificity and potency of the G protein for a certain cell type, we have the ability to deliver a variety of payloads to that cell. This feature of the technology should allow us to create multiple therapies targeting a variety of diseases with each successful fusogen. As a result, we believe success with any initial therapy targeting a given cell type could meaningfully advance lead candidate selection for other indications and increases our confidence that we will be successful with subsequent therapies targeting that same cell type.</w:t>
      </w:r>
    </w:p>
    <w:p>
      <w:pPr>
        <w:spacing w:after="0" w:line="3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Addressing Key in vivo Cell Engineering Challenges</w:t>
      </w:r>
    </w:p>
    <w:p>
      <w:pPr>
        <w:spacing w:after="0" w:line="110" w:lineRule="exact"/>
        <w:rPr>
          <w:sz w:val="20"/>
          <w:szCs w:val="20"/>
          <w:color w:val="auto"/>
        </w:rPr>
      </w:pPr>
    </w:p>
    <w:p>
      <w:pPr>
        <w:ind w:firstLine="490"/>
        <w:spacing w:after="0" w:line="267" w:lineRule="auto"/>
        <w:rPr>
          <w:sz w:val="20"/>
          <w:szCs w:val="20"/>
          <w:color w:val="auto"/>
        </w:rPr>
      </w:pPr>
      <w:r>
        <w:rPr>
          <w:rFonts w:ascii="Times New Roman" w:cs="Times New Roman" w:eastAsia="Times New Roman" w:hAnsi="Times New Roman"/>
          <w:sz w:val="20"/>
          <w:szCs w:val="20"/>
          <w:color w:val="231F20"/>
        </w:rPr>
        <w:t xml:space="preserve">We believe that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 enables us to address key challenges associated with successful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 payload delivery, genome modification, and execution in manufacturing.</w:t>
      </w: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Payload Delivery</w:t>
      </w:r>
    </w:p>
    <w:p>
      <w:pPr>
        <w:spacing w:after="0" w:line="114" w:lineRule="exact"/>
        <w:rPr>
          <w:sz w:val="20"/>
          <w:szCs w:val="20"/>
          <w:color w:val="auto"/>
        </w:rPr>
      </w:pPr>
    </w:p>
    <w:p>
      <w:pPr>
        <w:ind w:right="80" w:firstLine="490"/>
        <w:spacing w:after="0" w:line="250" w:lineRule="auto"/>
        <w:rPr>
          <w:sz w:val="20"/>
          <w:szCs w:val="20"/>
          <w:color w:val="auto"/>
        </w:rPr>
      </w:pPr>
      <w:r>
        <w:rPr>
          <w:rFonts w:ascii="Times New Roman" w:cs="Times New Roman" w:eastAsia="Times New Roman" w:hAnsi="Times New Roman"/>
          <w:sz w:val="20"/>
          <w:szCs w:val="20"/>
          <w:b w:val="1"/>
          <w:bCs w:val="1"/>
          <w:color w:val="231F20"/>
        </w:rPr>
        <w:t>High cell specificity for diverse cell types</w:t>
      </w:r>
      <w:r>
        <w:rPr>
          <w:rFonts w:ascii="Times New Roman" w:cs="Times New Roman" w:eastAsia="Times New Roman" w:hAnsi="Times New Roman"/>
          <w:sz w:val="20"/>
          <w:szCs w:val="20"/>
          <w:color w:val="231F20"/>
        </w:rPr>
        <w:t>. We believe we can engineer fusogens with cell specificity to maximize on-target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effects, while reducing or eliminating off-target risk. In our research, we have used fusogens to successfully target numerous cell surface receptors and cell types. As an example, in preclinical studies, we have demonstrated that our fusogens can specifically target CD8, CD4, or CD3 T cells, potentially enabling delivery of a payload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to transduce specific T cell populations and enabling targeted cell killing through the creation of CAR T cells.</w:t>
      </w:r>
    </w:p>
    <w:p>
      <w:pPr>
        <w:spacing w:after="0" w:line="192" w:lineRule="exact"/>
        <w:rPr>
          <w:sz w:val="20"/>
          <w:szCs w:val="20"/>
          <w:color w:val="auto"/>
        </w:rPr>
      </w:pPr>
    </w:p>
    <w:p>
      <w:pPr>
        <w:ind w:right="840" w:firstLine="490"/>
        <w:spacing w:after="0" w:line="281" w:lineRule="auto"/>
        <w:rPr>
          <w:sz w:val="20"/>
          <w:szCs w:val="20"/>
          <w:color w:val="auto"/>
        </w:rPr>
      </w:pPr>
      <w:r>
        <w:rPr>
          <w:rFonts w:ascii="Times New Roman" w:cs="Times New Roman" w:eastAsia="Times New Roman" w:hAnsi="Times New Roman"/>
          <w:sz w:val="20"/>
          <w:szCs w:val="20"/>
          <w:b w:val="1"/>
          <w:bCs w:val="1"/>
          <w:color w:val="231F20"/>
        </w:rPr>
        <w:t>Broad volume of distribution</w:t>
      </w:r>
      <w:r>
        <w:rPr>
          <w:rFonts w:ascii="Times New Roman" w:cs="Times New Roman" w:eastAsia="Times New Roman" w:hAnsi="Times New Roman"/>
          <w:sz w:val="20"/>
          <w:szCs w:val="20"/>
          <w:color w:val="231F20"/>
        </w:rPr>
        <w:t>. We have invested in investigating approaches to expand the volume of distribution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fusosomes.</w:t>
      </w:r>
    </w:p>
    <w:p>
      <w:pPr>
        <w:spacing w:after="0" w:line="161" w:lineRule="exact"/>
        <w:rPr>
          <w:sz w:val="20"/>
          <w:szCs w:val="20"/>
          <w:color w:val="auto"/>
        </w:rPr>
      </w:pPr>
    </w:p>
    <w:p>
      <w:pPr>
        <w:ind w:right="520" w:firstLine="490"/>
        <w:spacing w:after="0" w:line="281" w:lineRule="auto"/>
        <w:rPr>
          <w:sz w:val="20"/>
          <w:szCs w:val="20"/>
          <w:color w:val="auto"/>
        </w:rPr>
      </w:pPr>
      <w:r>
        <w:rPr>
          <w:rFonts w:ascii="Times New Roman" w:cs="Times New Roman" w:eastAsia="Times New Roman" w:hAnsi="Times New Roman"/>
          <w:sz w:val="20"/>
          <w:szCs w:val="20"/>
          <w:b w:val="1"/>
          <w:bCs w:val="1"/>
          <w:color w:val="231F20"/>
        </w:rPr>
        <w:t>Immunogenicity</w:t>
      </w:r>
      <w:r>
        <w:rPr>
          <w:rFonts w:ascii="Times New Roman" w:cs="Times New Roman" w:eastAsia="Times New Roman" w:hAnsi="Times New Roman"/>
          <w:sz w:val="20"/>
          <w:szCs w:val="20"/>
          <w:color w:val="231F20"/>
        </w:rPr>
        <w:t>. We focus our efforts on selecting fusogens for which the general population does not have pre-existing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immunity.</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Genome Modification</w:t>
      </w:r>
    </w:p>
    <w:p>
      <w:pPr>
        <w:spacing w:after="0" w:line="114"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b w:val="1"/>
          <w:bCs w:val="1"/>
          <w:color w:val="231F20"/>
        </w:rPr>
        <w:t>High degree of payload flexibility</w:t>
      </w:r>
      <w:r>
        <w:rPr>
          <w:rFonts w:ascii="Times New Roman" w:cs="Times New Roman" w:eastAsia="Times New Roman" w:hAnsi="Times New Roman"/>
          <w:sz w:val="20"/>
          <w:szCs w:val="20"/>
          <w:color w:val="231F20"/>
        </w:rPr>
        <w:t>. We have successfully delivered a variety of payloads, including DNA, RNA, and proteins,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using viral delivery methods and have used cells engineered to express specific fusogens to deliver organelles to a broad range of target cells. Using VLPs, we have shown that we can deliver a variety of genome modification tools specifically to a cell. We believe this capability provides us the opportunity to potentially intervene in a wide range of human diseases.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231F20"/>
        </w:rPr>
        <w:t>Fusosomes can Deliver Genome-Modifying Payloads in a Cell-Specific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92075</wp:posOffset>
            </wp:positionV>
            <wp:extent cx="3634105" cy="3629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3634105" cy="3629660"/>
                    </a:xfrm>
                    <a:prstGeom prst="rect">
                      <a:avLst/>
                    </a:prstGeom>
                    <a:noFill/>
                  </pic:spPr>
                </pic:pic>
              </a:graphicData>
            </a:graphic>
          </wp:anchor>
        </w:drawing>
      </w:r>
    </w:p>
    <w:p>
      <w:pPr>
        <w:sectPr>
          <w:pgSz w:w="11880" w:h="15480" w:orient="portrait"/>
          <w:cols w:equalWidth="0" w:num="1">
            <w:col w:w="10760"/>
          </w:cols>
          <w:pgMar w:left="540" w:top="74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760"/>
          </w:cols>
          <w:pgMar w:left="540" w:top="742" w:right="580" w:bottom="0" w:gutter="0" w:footer="0" w:header="0"/>
          <w:type w:val="continuous"/>
        </w:sectPr>
      </w:pPr>
    </w:p>
    <w:bookmarkStart w:id="38" w:name="page39"/>
    <w:bookmarkEnd w:id="38"/>
    <w:p>
      <w:pPr>
        <w:ind w:left="540" w:right="200" w:firstLine="7"/>
        <w:spacing w:after="0" w:line="251" w:lineRule="auto"/>
        <w:tabs>
          <w:tab w:leader="none" w:pos="731" w:val="left"/>
        </w:tabs>
        <w:numPr>
          <w:ilvl w:val="0"/>
          <w:numId w:val="27"/>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Fusosome-mediated delivery and integration of CAR transgene to CD8+ T cells in vivo. NSG mice (N=5/group) engrafted with NALM6-ffluc tumor cells and human PBMCs (IV, day -3) were treated with a fusosome targeting CD8+ T cells delivering a CD19 CAR transgene (day 0). Untreated, PBMC alone or tumor alone engrafted animals were used as controls. Peripheral blood samples were analyzed by flow cytometry on day 14 for expression of CD19 CAR in CD8+ T cells.</w:t>
      </w:r>
    </w:p>
    <w:p>
      <w:pPr>
        <w:spacing w:after="0" w:line="86" w:lineRule="exact"/>
        <w:rPr>
          <w:rFonts w:ascii="Times New Roman" w:cs="Times New Roman" w:eastAsia="Times New Roman" w:hAnsi="Times New Roman"/>
          <w:sz w:val="16"/>
          <w:szCs w:val="16"/>
          <w:i w:val="1"/>
          <w:iCs w:val="1"/>
          <w:color w:val="231F20"/>
        </w:rPr>
      </w:pPr>
    </w:p>
    <w:p>
      <w:pPr>
        <w:ind w:left="540" w:firstLine="7"/>
        <w:spacing w:after="0" w:line="248" w:lineRule="auto"/>
        <w:tabs>
          <w:tab w:leader="none" w:pos="731" w:val="left"/>
        </w:tabs>
        <w:numPr>
          <w:ilvl w:val="0"/>
          <w:numId w:val="27"/>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Fusosome-mediated delivery of base editing machinery to hepatocytes in vivo. In this study, fusosomes with a broadly tropic fusogen (VSV-G) were engineered to deliver a nuclease and gRNA as ribonucleic protein as a virus-like particle (VLP), with the gRNA recognizing TTR target locus. Fusosomes were dosed into FAH-/- Rag2 -/- IL2rg-/- (FRG) humanized liver mouse model, where human hepatocytes are engrafted in the mouse liver. Mice were injected via IV and gene editing was assessed in the liver after approximately two weeks. Fusosomes enabled genetic modification of 56% of alleles of the TTR gene in engrafted primary human hepatocytes and a corresponding 55% reduction of circulating human TTR protein in the mice as measured by ELISA.</w:t>
      </w:r>
    </w:p>
    <w:p>
      <w:pPr>
        <w:spacing w:after="0" w:line="89" w:lineRule="exact"/>
        <w:rPr>
          <w:rFonts w:ascii="Times New Roman" w:cs="Times New Roman" w:eastAsia="Times New Roman" w:hAnsi="Times New Roman"/>
          <w:sz w:val="16"/>
          <w:szCs w:val="16"/>
          <w:i w:val="1"/>
          <w:iCs w:val="1"/>
          <w:color w:val="231F20"/>
        </w:rPr>
      </w:pPr>
    </w:p>
    <w:p>
      <w:pPr>
        <w:ind w:left="540" w:right="20" w:firstLine="7"/>
        <w:spacing w:after="0" w:line="248" w:lineRule="auto"/>
        <w:tabs>
          <w:tab w:leader="none" w:pos="740" w:val="left"/>
        </w:tabs>
        <w:numPr>
          <w:ilvl w:val="0"/>
          <w:numId w:val="27"/>
        </w:numPr>
        <w:rPr>
          <w:rFonts w:ascii="Times New Roman" w:cs="Times New Roman" w:eastAsia="Times New Roman" w:hAnsi="Times New Roman"/>
          <w:sz w:val="16"/>
          <w:szCs w:val="16"/>
          <w:i w:val="1"/>
          <w:iCs w:val="1"/>
          <w:color w:val="231F20"/>
        </w:rPr>
      </w:pPr>
      <w:r>
        <w:rPr>
          <w:rFonts w:ascii="Times New Roman" w:cs="Times New Roman" w:eastAsia="Times New Roman" w:hAnsi="Times New Roman"/>
          <w:sz w:val="16"/>
          <w:szCs w:val="16"/>
          <w:i w:val="1"/>
          <w:iCs w:val="1"/>
          <w:color w:val="231F20"/>
        </w:rPr>
        <w:t>Fusosome-mediated delivery of Cas9 nuclease machinery to target cells in vitro. Fusosomes with a broadly tropic fusogen (BaEVTR) were engineered to deliver a nuclease and gRNA as ribonucleic protein as a VLP, with the gRNA recognizing B2M target locus. Treatment of resting cord blood CD34+cells with fusosome resulted in 80-90% B2M knockout cells (as measured by flow cytometry seven days post addition of fusosome), corresponding to up to 93% of edited alleles as measured by high-throughput sequencing of the B2M locus. Two different batches of fusosomes were tested on CD34+ cells from the same donor and are represented as “Study 1” and “Study 2” in the figure.</w:t>
      </w:r>
    </w:p>
    <w:p>
      <w:pPr>
        <w:spacing w:after="0" w:line="199" w:lineRule="exact"/>
        <w:rPr>
          <w:sz w:val="20"/>
          <w:szCs w:val="20"/>
          <w:color w:val="auto"/>
        </w:rPr>
      </w:pPr>
    </w:p>
    <w:p>
      <w:pPr>
        <w:ind w:right="140" w:firstLine="490"/>
        <w:spacing w:after="0" w:line="261" w:lineRule="auto"/>
        <w:rPr>
          <w:sz w:val="20"/>
          <w:szCs w:val="20"/>
          <w:color w:val="auto"/>
        </w:rPr>
      </w:pPr>
      <w:r>
        <w:rPr>
          <w:rFonts w:ascii="Times New Roman" w:cs="Times New Roman" w:eastAsia="Times New Roman" w:hAnsi="Times New Roman"/>
          <w:sz w:val="20"/>
          <w:szCs w:val="20"/>
          <w:b w:val="1"/>
          <w:bCs w:val="1"/>
          <w:color w:val="231F20"/>
        </w:rPr>
        <w:t>Expanded payload capacity</w:t>
      </w:r>
      <w:r>
        <w:rPr>
          <w:rFonts w:ascii="Times New Roman" w:cs="Times New Roman" w:eastAsia="Times New Roman" w:hAnsi="Times New Roman"/>
          <w:sz w:val="20"/>
          <w:szCs w:val="20"/>
          <w:color w:val="231F20"/>
        </w:rPr>
        <w:t>. Our current fusosome has approximately twice the genetic capacity of the commonly used AAV</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vectors. This greater payload size increases the potential for our fusosomes to address defects in larger genes or conditions when delivery of multiple genes may be required.</w:t>
      </w:r>
    </w:p>
    <w:p>
      <w:pPr>
        <w:spacing w:after="0" w:line="1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b w:val="1"/>
          <w:bCs w:val="1"/>
          <w:color w:val="231F20"/>
        </w:rPr>
        <w:t>Durability limitations</w:t>
      </w:r>
      <w:r>
        <w:rPr>
          <w:rFonts w:ascii="Times New Roman" w:cs="Times New Roman" w:eastAsia="Times New Roman" w:hAnsi="Times New Roman"/>
          <w:sz w:val="20"/>
          <w:szCs w:val="20"/>
          <w:color w:val="231F20"/>
        </w:rPr>
        <w:t>. We can engineer our fusosomes to deliver payloads that integrate into the target cell genome or that are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non-integrating. Integrated payloads allow the genetic information transmitted by the vector to be propagated durably with the genetic material of the target cell when it undergoes cell division. Thus, conditions that require this type of genetic propagation, such as diseases arising from issues in essential genes that are functioning in growing tissues, or in T cell expansion occurring following target antigen recognition, can be better addressed through use of integrating payloads. Our preclinical studies have also demonstrated the ability of our fusosome system to deliver non-integrating gene-editing machinery, such as CRISPR, with this system. In this case, the payload does not integrate, but instead, this payload transiently delivers the machinery to permanently modify the DNA in the target cell, enabling us to make targeted, specific, and durable repairs to the genome of the target cell.</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Execution in Manufacturing</w:t>
      </w:r>
    </w:p>
    <w:p>
      <w:pPr>
        <w:spacing w:after="0" w:line="23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Manufacturing of cell and gene therapies remains complex due to incumbent challenges in areas such as product consistency, process robustness, and scalability. Our fusosome approach has significant advantages over current solutions. Targeted delivery of complex payloads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has the potential to create autologous, gene-modified cells without the complexities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manufacturing. We believe that these therapies have the potential to have greater product consistency, improved scale, and lower costs than current autologous solutions. Currently, there are a number of therapies either approved or in development for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modification of autologous and allogeneic T cells. Additionally, vectors that deliver payloads to random or off-target cells not only create the risk for toxicities and immunogenicity, but they need meaningfully larger doses in order to ensure adequate delivery to the targeted cells. Our targeted delivery offers the potential for meaningfully lower doses, which could decrease scale needs in manufacturing. We are also investing across a number of areas to improve manufacturing scale, costs, consistency, and product quality in the near- and long-term.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Our </w:t>
      </w:r>
      <w:r>
        <w:rPr>
          <w:rFonts w:ascii="Times New Roman" w:cs="Times New Roman" w:eastAsia="Times New Roman" w:hAnsi="Times New Roman"/>
          <w:sz w:val="20"/>
          <w:szCs w:val="20"/>
          <w:b w:val="1"/>
          <w:bCs w:val="1"/>
          <w:i w:val="1"/>
          <w:iCs w:val="1"/>
          <w:color w:val="231F20"/>
        </w:rPr>
        <w:t>in vivo</w:t>
      </w:r>
      <w:r>
        <w:rPr>
          <w:rFonts w:ascii="Times New Roman" w:cs="Times New Roman" w:eastAsia="Times New Roman" w:hAnsi="Times New Roman"/>
          <w:sz w:val="20"/>
          <w:szCs w:val="20"/>
          <w:b w:val="1"/>
          <w:bCs w:val="1"/>
          <w:color w:val="231F20"/>
        </w:rPr>
        <w:t xml:space="preserve"> Cell Engineering Pipeline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 Cell Fusosome Program (SG293)</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Our most advanced CAR T cell fusosome product candidate is SG293, a CD8-targeted fusosome that delivers a CD19-directed CAR to target CD19+ cells that we are developing to treat patients with hematologic malignancies and autoimmune diseases.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Background on B Cell Malignancies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Non-Hodgkin lymphoma (NHL) is the most common cancer of the lymphatic system. NHL is not a single disease, but rather a group of several closely related cancers. Over 77,000 cases of NHL are diagnosed annually in the United States, and the most common subtype of NHL overall is diffuse large B cell lymphoma (DLBCL). DLBCL, if left untreated, may have survival measured in weeks or months. Other common subtypes of NHL include mantle cell lymphoma, follicular lymphoma, and marginal zone B cell lymphoma.</w:t>
      </w:r>
    </w:p>
    <w:p>
      <w:pPr>
        <w:spacing w:after="0" w:line="197"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Acute lymphoblastic leukemia (ALL) is a type of leukemia that results from an uncontrolled proliferation of lymphoblasts, which are immature white blood cells. Lymphoblasts, which are produced in the bone marrow, cause damage and death by inhibiting the production of normal cells. Approximately 6,000 patients are diagnosed with ALL in the United States each year, and the vast</w:t>
      </w:r>
    </w:p>
    <w:p>
      <w:pPr>
        <w:sectPr>
          <w:pgSz w:w="11880" w:h="15480" w:orient="portrait"/>
          <w:cols w:equalWidth="0" w:num="1">
            <w:col w:w="10800"/>
          </w:cols>
          <w:pgMar w:left="540" w:top="756" w:right="54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800"/>
          </w:cols>
          <w:pgMar w:left="540" w:top="756" w:right="540" w:bottom="0" w:gutter="0" w:footer="0" w:header="0"/>
          <w:type w:val="continuous"/>
        </w:sectPr>
      </w:pPr>
    </w:p>
    <w:bookmarkStart w:id="39" w:name="page40"/>
    <w:bookmarkEnd w:id="39"/>
    <w:p>
      <w:pPr>
        <w:ind w:right="140"/>
        <w:spacing w:after="0" w:line="247" w:lineRule="auto"/>
        <w:rPr>
          <w:sz w:val="20"/>
          <w:szCs w:val="20"/>
          <w:color w:val="auto"/>
        </w:rPr>
      </w:pPr>
      <w:r>
        <w:rPr>
          <w:rFonts w:ascii="Times New Roman" w:cs="Times New Roman" w:eastAsia="Times New Roman" w:hAnsi="Times New Roman"/>
          <w:sz w:val="20"/>
          <w:szCs w:val="20"/>
          <w:color w:val="231F20"/>
        </w:rPr>
        <w:t>majority of the approximately 1,500 ALL deaths per year occur in adults. Approximately 80% of cases of ALL in the United States and Europe are B cell ALL, which almost always involves cancer cells that express the CD19 protein. The five-year overall survival rate in ALL adults over the age of 60 is approximately 20%, and the median disease-free survival in patients with relapsed or remitting, or R/R, ALL after two or more lines of therapy is less than six months. B cell ALL is the most common cancer in children. Although children with ALL fare better than adults, children with R/R disease have poor outcomes. Because of the frequency of this disease, ALL remains a leading cause of death due to cancer in children.</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Current Treatment Landscape and Unmet Need</w:t>
      </w:r>
    </w:p>
    <w:p>
      <w:pPr>
        <w:spacing w:after="0" w:line="11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First-line therapy for NHL typically consists of multi-agent cytotoxic drugs in combination with the monoclonal antibody rituximab. In younger patients with NHL who have good organ function, high dose chemotherapy followed by stem cell transplantation is often used. Patients often relapse, however, and since 2017, several therapeutics have been approved in the United States for the treatment of patients with R/R NHL who have received prior therapies. These approved therapies include CD19 autologous CAR T therapies tisagenlecleucel, axicabtagene ciloleucel and lisocabtagene maraleucel; CD20xCD3 bi-specific antibodies epcoritamab-bysp and glofitamab-gxbm; CD19 antibody drug conjugate therapy polatuzumab vedotin; and CD19 antibody tafasitamab. Two of these autologous CD19 CAR T products have been approved in second-line patients with R/R NHL after proving to be superior to standard of care in pivotal trials.</w:t>
      </w:r>
    </w:p>
    <w:p>
      <w:pPr>
        <w:spacing w:after="0" w:line="20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Cure rates for ALL patients have continued to increase over the last four decades, with pediatric ALL cure rates reaching greater than 80% in developed countries. This progress has been enabled by advances in combination chemotherapy, monitoring of minimal residual disease, expanded use of kinase inhibitors for Philadelphia chromosome-positive ALL, and the approval of tisagenlecleucel for R/R pediatric ALL. Adult patients fare much worse, however, with 5-year overall survival rates of approximately 20%, and there are still significant challenges managing R/R disease across all age groups. Multiple therapeutic candidates are in development for R/R patients, including proteasome inhibitors, antimetabolites, JAK inhibitors, and monoclonal antibodies, as well as autologous and allogeneic CAR T candidates.</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As highlighted above, recent therapeutic advances across R/R B cell malignancies have led to a variety of treatment options and better patient outcomes. In particular, autologous surface protein-directed CAR T therapies have been highly effective in certain subsets of patients with R/R disease. However, not all patients have access to these novel therapies, and even if they able to obtain such access, many patients ultimately relapse following treatment and succumb to their cancer,</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T Cell-Targeted Fusosome Approach</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We believe that our T cell-targeted fusosome approach provides us with an opportunity to develop CAR T cell therapies that can be more broadly accessible to patients than currently available treatments. We also believe that the ability to deliver a payload encoding a CAR to a T cell inside the body has the potential for improved effectiveness and safety over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manufactured CAR T cell products. Our first fusosome program will deliver the CAR gene using fusogens that directly and specifically target the CD8 co-receptor on T cells following a single intravenous injection. We believe that this approach could result in the generation of therapeutically active CAR T cells without the complexities and delays associated with the process of T cell collection and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manufacturing. Furthermore,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expansion in the presence of high cytokine concentrations, although necessary for the manufacture of approved CAR T cell products, also contributes to marked changes in T cell quality that may not be therapeutically beneficial. We believe the generation of an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 within the natural physiological environment, has the potential to improve the quality of the CAR T cell generated, which may ultimately improve both efficacy and the side effect profile. Finally, the effectiveness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manufactured CAR T cells is dependent on the administration of a lymphodepleting preparative regimen prior to infusion to facilitate expansion of the CAR T cell product, which can have meaningful adverse safety implications. We do not expect to use a lymphodepleting regimen pre-exposure to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delivery of the CAR gene.</w:t>
      </w: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Preclinical Data</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Our preclinical data have demonstrated that fusosomes can deliver a genetic payload specifically and efficiently to human T cells in culture, as well as in immunodeficient mice with intraperitoneally-injected human PBMCs that have been infused with a single dose of a fusosome. The T cells can be categorized into functional subsets based on the expression pattern of cell surface molecules. CD3 is a protein expressed on all T cells, CD4 is expressed on helper T cells that primarily activate T and B cells to carry out their function, and CD8 is found on cytotoxic T cells that primarily kill cancerous or virally infected cells. We generated fusogens against these three cell-surface molecules and have demonstrated that we can deliver a marker gene to cells bearing these cell surface proteins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800"/>
          </w:cols>
          <w:pgMar w:left="540" w:top="750" w:right="540" w:bottom="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231F20"/>
        </w:rPr>
        <w:t>Fusogens Demonstrate the Ability to Target Multiple T Cell Subtypes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89535</wp:posOffset>
            </wp:positionV>
            <wp:extent cx="3409315" cy="3409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3409315" cy="340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
        <w:spacing w:after="0" w:line="257" w:lineRule="auto"/>
        <w:rPr>
          <w:sz w:val="20"/>
          <w:szCs w:val="20"/>
          <w:color w:val="auto"/>
        </w:rPr>
      </w:pPr>
      <w:r>
        <w:rPr>
          <w:rFonts w:ascii="Times New Roman" w:cs="Times New Roman" w:eastAsia="Times New Roman" w:hAnsi="Times New Roman"/>
          <w:sz w:val="16"/>
          <w:szCs w:val="16"/>
          <w:i w:val="1"/>
          <w:iCs w:val="1"/>
          <w:color w:val="231F20"/>
        </w:rPr>
        <w:t>Fusosomes can efficiently and specifically deliver GFP, which is used to identify cells that have been genetically modified by the fusogen, to three different types of T cells in culture (CD8, CD4, and CD3). Expression of GFP is restricted to the population of T cells that express the specific T cell receptor targeted by the fusogen (CD8, CD4, or CD3).</w:t>
      </w:r>
    </w:p>
    <w:p>
      <w:pPr>
        <w:spacing w:after="0" w:line="195"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We have further established that fusosome delivery of a CD19 CAR gene to CD4+ or CD8+ T cells results in killing of human B cells and CD19+ leukemia cells in culture. We have also validated,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the tumor-killing activity of CD8+ T cells to which a CD19 CAR has been delivered via a fusosome. Using a human xenograft mouse model for leukemia (Nalm-6), we observed both prolonged survival and clearance of the leukemic cells.</w:t>
      </w:r>
    </w:p>
    <w:p>
      <w:pPr>
        <w:spacing w:after="0" w:line="19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A prior candidate from our fusogen platform, SG299, a CD8-targeting fusogen that cross reacts with CD8 in most NHP species, included a CD19 CAR gene that encoded for a CD19-targeted CAR that does </w:t>
      </w:r>
      <w:r>
        <w:rPr>
          <w:rFonts w:ascii="Times New Roman" w:cs="Times New Roman" w:eastAsia="Times New Roman" w:hAnsi="Times New Roman"/>
          <w:sz w:val="20"/>
          <w:szCs w:val="20"/>
          <w:i w:val="1"/>
          <w:iCs w:val="1"/>
          <w:color w:val="231F20"/>
        </w:rPr>
        <w:t>not</w:t>
      </w:r>
      <w:r>
        <w:rPr>
          <w:rFonts w:ascii="Times New Roman" w:cs="Times New Roman" w:eastAsia="Times New Roman" w:hAnsi="Times New Roman"/>
          <w:sz w:val="20"/>
          <w:szCs w:val="20"/>
          <w:color w:val="231F20"/>
        </w:rPr>
        <w:t xml:space="preserve"> cross-react with NHP CD19. In a GLP toxicology study conducted in </w:t>
      </w:r>
      <w:r>
        <w:rPr>
          <w:rFonts w:ascii="Times New Roman" w:cs="Times New Roman" w:eastAsia="Times New Roman" w:hAnsi="Times New Roman"/>
          <w:sz w:val="20"/>
          <w:szCs w:val="20"/>
          <w:i w:val="1"/>
          <w:iCs w:val="1"/>
          <w:color w:val="231F20"/>
        </w:rPr>
        <w:t>nemestrina</w:t>
      </w:r>
      <w:r>
        <w:rPr>
          <w:rFonts w:ascii="Times New Roman" w:cs="Times New Roman" w:eastAsia="Times New Roman" w:hAnsi="Times New Roman"/>
          <w:sz w:val="20"/>
          <w:szCs w:val="20"/>
          <w:color w:val="231F20"/>
        </w:rPr>
        <w:t xml:space="preserve"> macaques, a single intravenous injection of SG299 demonstrated selective, dose-dependent gene delivery to target CD8+ T cells as measured by integrated vector copy number. The level of gene delivery was consistent with up to 20% of target cells receiving CAR transgene at the highest dose level. Tissue analysis showed minimal to no quantifiable presence in non-target tissues, including the liver and gonadal tissue. No infusion-related toxicity or CAR-associated toxicity (cytokine release syndrome or neurotoxicity) was observed. Because the CD19 CAR does not cross-react with </w:t>
      </w:r>
      <w:r>
        <w:rPr>
          <w:rFonts w:ascii="Times New Roman" w:cs="Times New Roman" w:eastAsia="Times New Roman" w:hAnsi="Times New Roman"/>
          <w:sz w:val="20"/>
          <w:szCs w:val="20"/>
          <w:i w:val="1"/>
          <w:iCs w:val="1"/>
          <w:color w:val="231F20"/>
        </w:rPr>
        <w:t>nemestrina</w:t>
      </w:r>
      <w:r>
        <w:rPr>
          <w:rFonts w:ascii="Times New Roman" w:cs="Times New Roman" w:eastAsia="Times New Roman" w:hAnsi="Times New Roman"/>
          <w:sz w:val="20"/>
          <w:szCs w:val="20"/>
          <w:color w:val="231F20"/>
        </w:rPr>
        <w:t xml:space="preserve"> CD19, we were unable to explore CAR T expansion kinetics or efficacy in depleting target cells in this experiment.</w:t>
      </w:r>
    </w:p>
    <w:p>
      <w:pPr>
        <w:spacing w:after="0" w:line="20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To evaluate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generation and B cell depletion, we developed a surrogate SG299 that delivers a CD20 CAR capable of targeting NHP B cells in </w:t>
      </w:r>
      <w:r>
        <w:rPr>
          <w:rFonts w:ascii="Times New Roman" w:cs="Times New Roman" w:eastAsia="Times New Roman" w:hAnsi="Times New Roman"/>
          <w:sz w:val="20"/>
          <w:szCs w:val="20"/>
          <w:i w:val="1"/>
          <w:iCs w:val="1"/>
          <w:color w:val="231F20"/>
        </w:rPr>
        <w:t>cynomolgus</w:t>
      </w:r>
      <w:r>
        <w:rPr>
          <w:rFonts w:ascii="Times New Roman" w:cs="Times New Roman" w:eastAsia="Times New Roman" w:hAnsi="Times New Roman"/>
          <w:sz w:val="20"/>
          <w:szCs w:val="20"/>
          <w:color w:val="231F20"/>
        </w:rPr>
        <w:t xml:space="preserve"> macaques. No lymphodepletion was administered to the NHPs in this study. Following a single intravenous injection of SG299 combined with an additional component, CAR-positive T cells reached peak expansion around day 7 following injection, with approximately 30-45% of circulating T cells expressing the CAR. CAR transgene-positive T cells remained detectable in circulation beyond three weeks. Deep B cell depletion was achieved in peripheral blood and maintained for at least four weeks post-injection, with B cell clearance confirmed in lymph node biopsies at day 28. B cell phenotype analyses performed after peripheral B cells returned show a “B cell reset,” with a predominance of naïve B cells in circulation.</w:t>
      </w:r>
    </w:p>
    <w:p>
      <w:pPr>
        <w:spacing w:after="0" w:line="200"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Taken together, these results suggested that SG299 could be safely dosed in NHPs and had the potential to deliver a CAR transgene that could result in deep and durable depletion of B cells without lymphodepletion.</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46" w:right="540" w:bottom="0" w:gutter="0" w:footer="0" w:header="0"/>
          <w:type w:val="continuous"/>
        </w:sectPr>
      </w:pPr>
    </w:p>
    <w:bookmarkStart w:id="41" w:name="page42"/>
    <w:bookmarkEnd w:id="41"/>
    <w:p>
      <w:pPr>
        <w:ind w:left="2100"/>
        <w:spacing w:after="0"/>
        <w:rPr>
          <w:sz w:val="20"/>
          <w:szCs w:val="20"/>
          <w:color w:val="auto"/>
        </w:rPr>
      </w:pPr>
      <w:r>
        <w:rPr>
          <w:rFonts w:ascii="Times New Roman" w:cs="Times New Roman" w:eastAsia="Times New Roman" w:hAnsi="Times New Roman"/>
          <w:sz w:val="20"/>
          <w:szCs w:val="20"/>
          <w:b w:val="1"/>
          <w:bCs w:val="1"/>
          <w:u w:val="single" w:color="auto"/>
          <w:color w:val="231F20"/>
        </w:rPr>
        <w:t>Transduction of Circulating CD8+ T cells by SG299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166370</wp:posOffset>
            </wp:positionV>
            <wp:extent cx="4587240" cy="3241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4587240" cy="324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b w:val="1"/>
          <w:bCs w:val="1"/>
          <w:u w:val="single" w:color="auto"/>
          <w:color w:val="231F20"/>
        </w:rPr>
        <w:t>No Off-Target Transduction of Hepatocytes or Gonadal Cells by SG299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170180</wp:posOffset>
            </wp:positionV>
            <wp:extent cx="4587240" cy="2964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4587240" cy="296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i w:val="1"/>
          <w:iCs w:val="1"/>
          <w:color w:val="231F20"/>
        </w:rPr>
        <w:t>Cell-specific in vivo delivery demonstrated with SG299 in GLP toxicology study: Nemestrina macaques were injected intravenously with a high or low dose of SG299, and in vivo generated CAR T cells were monitored by analysis of vector copy number (VCN) of the CD19 CAR transgene.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Upper panel: VCN in enriched CD8+ cells in peripheral blood. N=4 up to day 35 and N=2 from day 35 to 90 for each group.</w:t>
      </w:r>
    </w:p>
    <w:p>
      <w:pPr>
        <w:spacing w:after="0" w:line="12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i w:val="1"/>
          <w:iCs w:val="1"/>
          <w:color w:val="231F20"/>
        </w:rPr>
        <w:t>Lower panel: VCN in total tissue lysates. N=2 for each group. Mean+/-SD plotted, values above LOQ were graphed. Vehicle control animals (N=2) were BLOQ in both peripheral blood and tissues.</w:t>
      </w:r>
    </w:p>
    <w:p>
      <w:pPr>
        <w:sectPr>
          <w:pgSz w:w="11880" w:h="15480" w:orient="portrait"/>
          <w:cols w:equalWidth="0" w:num="1">
            <w:col w:w="10000"/>
          </w:cols>
          <w:pgMar w:left="1260" w:top="74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000"/>
          </w:cols>
          <w:pgMar w:left="1260" w:top="746" w:right="62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SG299 with Additional Component can Transduce CD8+ T Cells in NHPs with Expansion over 7-14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166370</wp:posOffset>
            </wp:positionV>
            <wp:extent cx="4518660" cy="292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4518660" cy="292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SG299 and Additional Component Results in Deep B cell Depletion in Peripheral Blood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167640</wp:posOffset>
            </wp:positionV>
            <wp:extent cx="4529455" cy="2926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4529455" cy="292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line="257" w:lineRule="auto"/>
        <w:rPr>
          <w:sz w:val="20"/>
          <w:szCs w:val="20"/>
          <w:color w:val="auto"/>
        </w:rPr>
      </w:pPr>
      <w:r>
        <w:rPr>
          <w:rFonts w:ascii="Times New Roman" w:cs="Times New Roman" w:eastAsia="Times New Roman" w:hAnsi="Times New Roman"/>
          <w:sz w:val="16"/>
          <w:szCs w:val="16"/>
          <w:i w:val="1"/>
          <w:iCs w:val="1"/>
          <w:color w:val="231F20"/>
        </w:rPr>
        <w:t>Surrogate SG299 with additional component leads to T cell transduction, CAR expansion, and B cell depletion. Cynomolgus macaques were injected intravenously with a SG299 surrogate delivering a CD20 CAR transgene in combination with an additional component. Presence of CAR T cell and B cells were evaluated by flow cytometry up to 28 days post-fusosome treatment.</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231F20"/>
        </w:rPr>
        <w:t>Upper panel: Cellular kinetics of CD8+ CAR+ cells in peripheral blood.</w:t>
      </w:r>
    </w:p>
    <w:p>
      <w:pPr>
        <w:spacing w:after="0" w:line="120" w:lineRule="exact"/>
        <w:rPr>
          <w:sz w:val="20"/>
          <w:szCs w:val="20"/>
          <w:color w:val="auto"/>
        </w:rPr>
      </w:pPr>
    </w:p>
    <w:p>
      <w:pPr>
        <w:ind w:left="260" w:right="440"/>
        <w:spacing w:after="0" w:line="274" w:lineRule="auto"/>
        <w:rPr>
          <w:sz w:val="20"/>
          <w:szCs w:val="20"/>
          <w:color w:val="auto"/>
        </w:rPr>
      </w:pPr>
      <w:r>
        <w:rPr>
          <w:rFonts w:ascii="Times New Roman" w:cs="Times New Roman" w:eastAsia="Times New Roman" w:hAnsi="Times New Roman"/>
          <w:sz w:val="16"/>
          <w:szCs w:val="16"/>
          <w:i w:val="1"/>
          <w:iCs w:val="1"/>
          <w:color w:val="231F20"/>
        </w:rPr>
        <w:t>Lower panel: CD20+ B-cell counts per volume of blood (uL) in peripheral blood. N=3 for vehicle control, N=2 for SG299 surrogate plus additional component. Mean+/-SD of the controls and individual treated animals shown.</w:t>
      </w:r>
    </w:p>
    <w:p>
      <w:pPr>
        <w:sectPr>
          <w:pgSz w:w="11880" w:h="15480" w:orient="portrait"/>
          <w:cols w:equalWidth="0" w:num="1">
            <w:col w:w="10240"/>
          </w:cols>
          <w:pgMar w:left="1000" w:top="74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240"/>
          </w:cols>
          <w:pgMar w:left="1000" w:top="746" w:right="640" w:bottom="0" w:gutter="0" w:footer="0" w:header="0"/>
          <w:type w:val="continuous"/>
        </w:sectPr>
      </w:pPr>
    </w:p>
    <w:bookmarkStart w:id="43" w:name="page44"/>
    <w:bookmarkEnd w:id="43"/>
    <w:p>
      <w:pPr>
        <w:ind w:left="72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SG299 and Additional Component Results in Deep B cell Depletion in Peripheral Blood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164465</wp:posOffset>
            </wp:positionV>
            <wp:extent cx="3277235" cy="3276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3277235"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20" w:right="120"/>
        <w:spacing w:after="0" w:line="257" w:lineRule="auto"/>
        <w:rPr>
          <w:sz w:val="20"/>
          <w:szCs w:val="20"/>
          <w:color w:val="auto"/>
        </w:rPr>
      </w:pPr>
      <w:r>
        <w:rPr>
          <w:rFonts w:ascii="Times New Roman" w:cs="Times New Roman" w:eastAsia="Times New Roman" w:hAnsi="Times New Roman"/>
          <w:sz w:val="16"/>
          <w:szCs w:val="16"/>
          <w:i w:val="1"/>
          <w:iCs w:val="1"/>
          <w:color w:val="231F20"/>
        </w:rPr>
        <w:t>B cell clearance in lymph nodes without lymphodepletion. Lymph nodes from cynomolgus macaques injected intravenously with an SG299 surrogate delivering a CD20 CAR transgene in combination with an additional component. Biopsy performed on day 28 post-injection in one control animal and two treated animals. Tissues were analyzed by immunohistochemistry. Brown, anti-CD20; blue, hematoxylin; black, tattoo ink.</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SG293</w:t>
      </w:r>
    </w:p>
    <w:p>
      <w:pPr>
        <w:spacing w:after="0" w:line="23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next incorporated the findings from these as well as several other studies into our next-generation product, SG293, which has several important changes when compared to SG299 while retaining the CD19 CAR. First, SG293 utilizes a fusogen from a different paramyxovirus, which in preclinical models has demonstrated enhanced potency and specificity. Second, SG293 incorporates an activation signal on the surface of the fusosome to enhance CAR expression and early potency post-transduction. Third, we have made several changes to the manufacturing process to minimize the expression of the CAR transgene on the fusosome surface, which we have shown in animal models decreases the risk of an immune response to the CAR, as well as improve safety. We believe these changes will enhance efficacy, safety, and manufacturability.</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January 2026, we shared data from a preclinical study using a surrogate for SG293 that delivers a CD20 CAR capable of targeting NHP B cells in </w:t>
      </w:r>
      <w:r>
        <w:rPr>
          <w:rFonts w:ascii="Times New Roman" w:cs="Times New Roman" w:eastAsia="Times New Roman" w:hAnsi="Times New Roman"/>
          <w:sz w:val="20"/>
          <w:szCs w:val="20"/>
          <w:i w:val="1"/>
          <w:iCs w:val="1"/>
          <w:color w:val="231F20"/>
        </w:rPr>
        <w:t>cynomolgus</w:t>
      </w:r>
      <w:r>
        <w:rPr>
          <w:rFonts w:ascii="Times New Roman" w:cs="Times New Roman" w:eastAsia="Times New Roman" w:hAnsi="Times New Roman"/>
          <w:sz w:val="20"/>
          <w:szCs w:val="20"/>
          <w:color w:val="231F20"/>
        </w:rPr>
        <w:t xml:space="preserve"> macaques. No lymphodepletion was administered to the NHPs in this study. A single intravenous injection of SG293 to these NHP resulted in robust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generation of CAR T cells and deep B cell depletion in the peripheral blood and lymph nodes. The B cell depletion was further confirmed by lymph node biopsies showing clearing of B cells as well as by a “reset” of the NHPs’ B cell repertoire toward naïve B cells. We believe that deep B cell depletion in this preclinical model is the most significant biomarker for potential efficacy in patients with B cell cancers and B cell-mediated autoimmune diseases. Separately,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studies using SG293 have shown selective gene delivery to CD8+ T cells with minimal or undetectable off-target transduction in tissues such as the liver and gonadal tissue, supporting the specificity of SG293. We continue to evaluate SG293 in other preclinical studies.</w:t>
      </w:r>
    </w:p>
    <w:p>
      <w:pPr>
        <w:spacing w:after="0" w:line="2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SG293 NHP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164465</wp:posOffset>
            </wp:positionV>
            <wp:extent cx="4103370" cy="1063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4103370" cy="1063625"/>
                    </a:xfrm>
                    <a:prstGeom prst="rect">
                      <a:avLst/>
                    </a:prstGeom>
                    <a:noFill/>
                  </pic:spPr>
                </pic:pic>
              </a:graphicData>
            </a:graphic>
          </wp:anchor>
        </w:drawing>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800"/>
          </w:cols>
          <w:pgMar w:left="540" w:top="746" w:right="540" w:bottom="0" w:gutter="0" w:footer="0" w:header="0"/>
          <w:type w:val="continuous"/>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SG293 Transduces CD8+ T Cells in NHPs with Expansion over 7-28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89535</wp:posOffset>
            </wp:positionV>
            <wp:extent cx="4178935" cy="2411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4178935"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SG293 Results in Deep B Cell Depletion in Peripheral Blood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85725</wp:posOffset>
            </wp:positionV>
            <wp:extent cx="4178935" cy="2430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4178935" cy="243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SG293 Results in Deep B Cell Depletion in NHP Lymph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94615</wp:posOffset>
            </wp:positionV>
            <wp:extent cx="4406265" cy="1935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4406265" cy="193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231F20"/>
        </w:rPr>
        <w:t>B cell clearance in lymph nodes without lymphodepletion. Lymph nodes from cynomolgus macaques injected intravenously with an SG293 surrogate delivering a CD20 CAR transgene. Biopsy performed three-weeks post-injection in one control animal and two treated animals. Tissues were analyzed by immunohistochemistry. Brown, anti-CD20; blue, hematoxylin; black, tattoo ink.</w:t>
      </w:r>
    </w:p>
    <w:p>
      <w:pPr>
        <w:sectPr>
          <w:pgSz w:w="11880" w:h="15480" w:orient="portrait"/>
          <w:cols w:equalWidth="0" w:num="1">
            <w:col w:w="9860"/>
          </w:cols>
          <w:pgMar w:left="1260" w:top="746" w:right="76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860"/>
          </w:cols>
          <w:pgMar w:left="1260" w:top="746" w:right="760"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231F20"/>
        </w:rPr>
        <w:t>Surrogate SG293 Results in B Cell “Reset”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16510</wp:posOffset>
            </wp:positionV>
            <wp:extent cx="5005705" cy="2996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5005705"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197" w:lineRule="exact"/>
        <w:rPr>
          <w:sz w:val="20"/>
          <w:szCs w:val="20"/>
          <w:color w:val="auto"/>
        </w:rPr>
      </w:pPr>
      <w:r>
        <w:rPr>
          <w:rFonts w:ascii="Times New Roman" w:cs="Times New Roman" w:eastAsia="Times New Roman" w:hAnsi="Times New Roman"/>
          <w:sz w:val="16"/>
          <w:szCs w:val="16"/>
          <w:i w:val="1"/>
          <w:iCs w:val="1"/>
          <w:color w:val="231F20"/>
        </w:rPr>
        <w:t>B cell reset in nonhuman primates (NHPs) is illustrated by the depletion of circulating and lymphoid tissue B cells following a single intravenous administration of an SG293 surrogate, followed by repopulation of the B cell compartment with a predominance of naïve B cells. In these studies, B cell reconstitution was characterized by an increased proportion of IgD</w:t>
      </w:r>
      <w:r>
        <w:rPr>
          <w:rFonts w:ascii="Arial" w:cs="Arial" w:eastAsia="Arial" w:hAnsi="Arial"/>
          <w:sz w:val="16"/>
          <w:szCs w:val="16"/>
          <w:i w:val="1"/>
          <w:iCs w:val="1"/>
          <w:color w:val="231F20"/>
        </w:rPr>
        <w:t>ͻ</w:t>
      </w:r>
      <w:r>
        <w:rPr>
          <w:rFonts w:ascii="Times New Roman" w:cs="Times New Roman" w:eastAsia="Times New Roman" w:hAnsi="Times New Roman"/>
          <w:sz w:val="16"/>
          <w:szCs w:val="16"/>
          <w:i w:val="1"/>
          <w:iCs w:val="1"/>
          <w:color w:val="231F20"/>
        </w:rPr>
        <w:t>/CD27</w:t>
      </w:r>
      <w:r>
        <w:rPr>
          <w:rFonts w:ascii="Arial" w:cs="Arial" w:eastAsia="Arial" w:hAnsi="Arial"/>
          <w:sz w:val="16"/>
          <w:szCs w:val="16"/>
          <w:i w:val="1"/>
          <w:iCs w:val="1"/>
          <w:color w:val="231F20"/>
        </w:rPr>
        <w:t>ͼ</w:t>
      </w:r>
      <w:r>
        <w:rPr>
          <w:rFonts w:ascii="Times New Roman" w:cs="Times New Roman" w:eastAsia="Times New Roman" w:hAnsi="Times New Roman"/>
          <w:sz w:val="16"/>
          <w:szCs w:val="16"/>
          <w:i w:val="1"/>
          <w:iCs w:val="1"/>
          <w:color w:val="231F20"/>
        </w:rPr>
        <w:t xml:space="preserve"> naïve B cells relative to memory B cell subsets, consistent with a resetting of the B cell repertoire.</w:t>
      </w:r>
    </w:p>
    <w:p>
      <w:pPr>
        <w:spacing w:after="0" w:line="351" w:lineRule="exact"/>
        <w:rPr>
          <w:sz w:val="20"/>
          <w:szCs w:val="20"/>
          <w:color w:val="auto"/>
        </w:rPr>
      </w:pPr>
    </w:p>
    <w:p>
      <w:pPr>
        <w:jc w:val="center"/>
        <w:ind w:right="-19"/>
        <w:spacing w:after="0" w:line="230" w:lineRule="exact"/>
        <w:rPr>
          <w:sz w:val="20"/>
          <w:szCs w:val="20"/>
          <w:color w:val="auto"/>
        </w:rPr>
      </w:pPr>
      <w:r>
        <w:rPr>
          <w:rFonts w:ascii="Times New Roman" w:cs="Times New Roman" w:eastAsia="Times New Roman" w:hAnsi="Times New Roman"/>
          <w:sz w:val="20"/>
          <w:szCs w:val="20"/>
          <w:b w:val="1"/>
          <w:bCs w:val="1"/>
          <w:u w:val="single" w:color="auto"/>
          <w:color w:val="231F20"/>
        </w:rPr>
        <w:t xml:space="preserve">SG293 Demonstrates Greater </w:t>
      </w:r>
      <w:r>
        <w:rPr>
          <w:rFonts w:ascii="Times New Roman" w:cs="Times New Roman" w:eastAsia="Times New Roman" w:hAnsi="Times New Roman"/>
          <w:sz w:val="20"/>
          <w:szCs w:val="20"/>
          <w:b w:val="1"/>
          <w:bCs w:val="1"/>
          <w:i w:val="1"/>
          <w:iCs w:val="1"/>
          <w:u w:val="single" w:color="auto"/>
          <w:color w:val="231F20"/>
        </w:rPr>
        <w:t>in vitro</w:t>
      </w:r>
      <w:r>
        <w:rPr>
          <w:rFonts w:ascii="Times New Roman" w:cs="Times New Roman" w:eastAsia="Times New Roman" w:hAnsi="Times New Roman"/>
          <w:sz w:val="20"/>
          <w:szCs w:val="20"/>
          <w:b w:val="1"/>
          <w:bCs w:val="1"/>
          <w:u w:val="single" w:color="auto"/>
          <w:color w:val="231F20"/>
        </w:rPr>
        <w:t xml:space="preserve"> Specificity for On</w:t>
      </w:r>
      <w:r>
        <w:rPr>
          <w:rFonts w:ascii="MS Gothic" w:cs="MS Gothic" w:eastAsia="MS Gothic" w:hAnsi="MS Gothic"/>
          <w:sz w:val="20"/>
          <w:szCs w:val="20"/>
          <w:b w:val="1"/>
          <w:bCs w:val="1"/>
          <w:u w:val="single" w:color="auto"/>
          <w:color w:val="231F20"/>
        </w:rPr>
        <w:t>̻</w:t>
      </w:r>
      <w:r>
        <w:rPr>
          <w:rFonts w:ascii="Times New Roman" w:cs="Times New Roman" w:eastAsia="Times New Roman" w:hAnsi="Times New Roman"/>
          <w:sz w:val="20"/>
          <w:szCs w:val="20"/>
          <w:b w:val="1"/>
          <w:bCs w:val="1"/>
          <w:u w:val="single" w:color="auto"/>
          <w:color w:val="231F20"/>
        </w:rPr>
        <w:t>Target Cells Compared to a Targeted VSV</w:t>
      </w:r>
      <w:r>
        <w:rPr>
          <w:rFonts w:ascii="MS Gothic" w:cs="MS Gothic" w:eastAsia="MS Gothic" w:hAnsi="MS Gothic"/>
          <w:sz w:val="20"/>
          <w:szCs w:val="20"/>
          <w:b w:val="1"/>
          <w:bCs w:val="1"/>
          <w:u w:val="single" w:color="auto"/>
          <w:color w:val="231F20"/>
        </w:rPr>
        <w:t>̻</w:t>
      </w:r>
      <w:r>
        <w:rPr>
          <w:rFonts w:ascii="Times New Roman" w:cs="Times New Roman" w:eastAsia="Times New Roman" w:hAnsi="Times New Roman"/>
          <w:sz w:val="20"/>
          <w:szCs w:val="20"/>
          <w:b w:val="1"/>
          <w:bCs w:val="1"/>
          <w:u w:val="single" w:color="auto"/>
          <w:color w:val="231F20"/>
        </w:rPr>
        <w:t>G Fusogen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100965</wp:posOffset>
            </wp:positionV>
            <wp:extent cx="5490845" cy="3691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5490845" cy="369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i w:val="1"/>
          <w:iCs w:val="1"/>
          <w:color w:val="231F20"/>
        </w:rPr>
        <w:t>In vitro assessment of fusogen</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mediated gene delivery across on</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and off</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cell types. Shown is vector copy number (VCN) per diploid genome</w:t>
      </w:r>
    </w:p>
    <w:p>
      <w:pPr>
        <w:spacing w:after="0" w:line="26"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i w:val="1"/>
          <w:iCs w:val="1"/>
          <w:color w:val="231F20"/>
        </w:rPr>
        <w:t>following exposure of indicated human cell lines and primary cells to SG293, SG299, or a blinded VSV</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G fusogen control. On</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cells represent CD8</w:t>
      </w:r>
      <w:r>
        <w:rPr>
          <w:rFonts w:ascii="Arial" w:cs="Arial" w:eastAsia="Arial" w:hAnsi="Arial"/>
          <w:sz w:val="16"/>
          <w:szCs w:val="16"/>
          <w:i w:val="1"/>
          <w:iCs w:val="1"/>
          <w:color w:val="231F20"/>
        </w:rPr>
        <w:t>ͻ</w:t>
      </w:r>
    </w:p>
    <w:p>
      <w:pPr>
        <w:spacing w:after="0" w:line="23"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i w:val="1"/>
          <w:iCs w:val="1"/>
          <w:color w:val="231F20"/>
        </w:rPr>
        <w:t>T</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cell surrogates, while off</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cells include cell lines and primary cells with low or high phagocytic activity, endothelial cells, epithelial cells, hepatocytes,</w:t>
      </w:r>
    </w:p>
    <w:p>
      <w:pPr>
        <w:spacing w:after="0" w:line="23"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i w:val="1"/>
          <w:iCs w:val="1"/>
          <w:color w:val="231F20"/>
        </w:rPr>
        <w:t>and CD34</w:t>
      </w:r>
      <w:r>
        <w:rPr>
          <w:rFonts w:ascii="Arial" w:cs="Arial" w:eastAsia="Arial" w:hAnsi="Arial"/>
          <w:sz w:val="16"/>
          <w:szCs w:val="16"/>
          <w:i w:val="1"/>
          <w:iCs w:val="1"/>
          <w:color w:val="231F20"/>
        </w:rPr>
        <w:t>ͻ</w:t>
      </w:r>
      <w:r>
        <w:rPr>
          <w:rFonts w:ascii="Times New Roman" w:cs="Times New Roman" w:eastAsia="Times New Roman" w:hAnsi="Times New Roman"/>
          <w:sz w:val="16"/>
          <w:szCs w:val="16"/>
          <w:i w:val="1"/>
          <w:iCs w:val="1"/>
          <w:color w:val="231F20"/>
        </w:rPr>
        <w:t xml:space="preserve"> hematopoietic progenitor cells under resting and activated conditions. Data illustrate selective gene delivery by SG293 to on</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cells with lower</w:t>
      </w:r>
    </w:p>
    <w:p>
      <w:pPr>
        <w:spacing w:after="0" w:line="23"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i w:val="1"/>
          <w:iCs w:val="1"/>
          <w:color w:val="231F20"/>
        </w:rPr>
        <w:t>relative transduction of off</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target cell types compared to the targeted VSV</w:t>
      </w:r>
      <w:r>
        <w:rPr>
          <w:rFonts w:ascii="Arial" w:cs="Arial" w:eastAsia="Arial" w:hAnsi="Arial"/>
          <w:sz w:val="16"/>
          <w:szCs w:val="16"/>
          <w:i w:val="1"/>
          <w:iCs w:val="1"/>
          <w:color w:val="231F20"/>
        </w:rPr>
        <w:t>̻</w:t>
      </w:r>
      <w:r>
        <w:rPr>
          <w:rFonts w:ascii="Times New Roman" w:cs="Times New Roman" w:eastAsia="Times New Roman" w:hAnsi="Times New Roman"/>
          <w:sz w:val="16"/>
          <w:szCs w:val="16"/>
          <w:i w:val="1"/>
          <w:iCs w:val="1"/>
          <w:color w:val="231F20"/>
        </w:rPr>
        <w:t>G fusogen under the tested conditions.</w:t>
      </w:r>
    </w:p>
    <w:p>
      <w:pPr>
        <w:sectPr>
          <w:pgSz w:w="11880" w:h="15480" w:orient="portrait"/>
          <w:cols w:equalWidth="0" w:num="1">
            <w:col w:w="10320"/>
          </w:cols>
          <w:pgMar w:left="102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320"/>
          </w:cols>
          <w:pgMar w:left="1020" w:top="746" w:right="540" w:bottom="0" w:gutter="0" w:footer="0" w:header="0"/>
          <w:type w:val="continuous"/>
        </w:sectPr>
      </w:pPr>
    </w:p>
    <w:bookmarkStart w:id="46" w:name="page47"/>
    <w:bookmarkEnd w:id="46"/>
    <w:p>
      <w:pPr>
        <w:ind w:left="500"/>
        <w:spacing w:after="0"/>
        <w:rPr>
          <w:sz w:val="20"/>
          <w:szCs w:val="20"/>
          <w:color w:val="auto"/>
        </w:rPr>
      </w:pPr>
      <w:r>
        <w:rPr>
          <w:rFonts w:ascii="Times New Roman" w:cs="Times New Roman" w:eastAsia="Times New Roman" w:hAnsi="Times New Roman"/>
          <w:sz w:val="20"/>
          <w:szCs w:val="20"/>
          <w:i w:val="1"/>
          <w:iCs w:val="1"/>
          <w:color w:val="231F20"/>
        </w:rPr>
        <w:t>Development Plan and Key Next Steps</w:t>
      </w:r>
    </w:p>
    <w:p>
      <w:pPr>
        <w:spacing w:after="0" w:line="23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We intend to develop SG293 initially in B cell cancers such as non-Hodgkin lymphoma and acute lymphoblastic leukemia. If we generate appropriate safety and efficacy signals in these settings, we intend to expand testing into B cell mediated autoimmune diseases such as lupus. We are also developing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therapies toward other targets, such as B cell maturation antigen ( BCMA), though we plan to learn from initial clinical experience with SG293 before advancing therapies for other targets into human testing. We intend to begin clinical testing and generate initial clinical data for SG293 as early as this year.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 Strategy and Approach</w:t>
      </w:r>
    </w:p>
    <w:p>
      <w:pPr>
        <w:spacing w:after="0" w:line="12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Although the field of cell and gene therapy has had a number of successes with innovative therapies, the challenges of manufacturing at industrial scale have limited access for patients in need. As was the case during the initial development of recombinant biologics, an improvement in our ability to characterize these products will be essential to increasing patient access. It is especially critical to have an in-depth understanding of the impact of manufacturing processes on the product quality attributes and resulting clinical performance of the product.</w:t>
      </w:r>
    </w:p>
    <w:p>
      <w:pPr>
        <w:spacing w:after="0" w:line="19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231F20"/>
        </w:rPr>
        <w:t>From inception, we have recognized the key role manufacturing plays in enabling access to these innovative engineered cells as medicines. Two areas of particular focus are product analytical and biological characterization, leading to a better definition of critical product attributes, as well as process understanding, leading to better control the impact of process parameters on these critical product attributes.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have developed a manufacturing strategy with early investments in people, technology, and infrastructure, which requires:</w:t>
      </w:r>
    </w:p>
    <w:p>
      <w:pPr>
        <w:spacing w:after="0" w:line="175" w:lineRule="exact"/>
        <w:rPr>
          <w:sz w:val="20"/>
          <w:szCs w:val="20"/>
          <w:color w:val="auto"/>
        </w:rPr>
      </w:pPr>
    </w:p>
    <w:p>
      <w:pPr>
        <w:ind w:left="980" w:right="280" w:hanging="490"/>
        <w:spacing w:after="0" w:line="236" w:lineRule="auto"/>
        <w:tabs>
          <w:tab w:leader="none" w:pos="980" w:val="left"/>
        </w:tabs>
        <w:numPr>
          <w:ilvl w:val="0"/>
          <w:numId w:val="28"/>
        </w:numPr>
        <w:rPr>
          <w:rFonts w:ascii="Arial" w:cs="Arial" w:eastAsia="Arial" w:hAnsi="Arial"/>
          <w:sz w:val="24"/>
          <w:szCs w:val="24"/>
          <w:color w:val="231F20"/>
        </w:rPr>
      </w:pPr>
      <w:r>
        <w:rPr>
          <w:rFonts w:ascii="Times New Roman" w:cs="Times New Roman" w:eastAsia="Times New Roman" w:hAnsi="Times New Roman"/>
          <w:sz w:val="20"/>
          <w:szCs w:val="20"/>
          <w:color w:val="231F20"/>
        </w:rPr>
        <w:t>establishing a team with diverse experience and talent with extensive knowledge of both the process and analytical sciences in the field of cell and gene therapy, as well as CMC product development expertise from preclinical to global commercialization;</w:t>
      </w:r>
    </w:p>
    <w:p>
      <w:pPr>
        <w:spacing w:after="0" w:line="131" w:lineRule="exact"/>
        <w:rPr>
          <w:rFonts w:ascii="Arial" w:cs="Arial" w:eastAsia="Arial" w:hAnsi="Arial"/>
          <w:sz w:val="24"/>
          <w:szCs w:val="24"/>
          <w:color w:val="231F20"/>
        </w:rPr>
      </w:pPr>
    </w:p>
    <w:p>
      <w:pPr>
        <w:ind w:left="980" w:hanging="490"/>
        <w:spacing w:after="0"/>
        <w:tabs>
          <w:tab w:leader="none" w:pos="980" w:val="left"/>
        </w:tabs>
        <w:numPr>
          <w:ilvl w:val="0"/>
          <w:numId w:val="28"/>
        </w:numPr>
        <w:rPr>
          <w:rFonts w:ascii="Arial" w:cs="Arial" w:eastAsia="Arial" w:hAnsi="Arial"/>
          <w:sz w:val="24"/>
          <w:szCs w:val="24"/>
          <w:color w:val="231F20"/>
        </w:rPr>
      </w:pPr>
      <w:r>
        <w:rPr>
          <w:rFonts w:ascii="Times New Roman" w:cs="Times New Roman" w:eastAsia="Times New Roman" w:hAnsi="Times New Roman"/>
          <w:sz w:val="20"/>
          <w:szCs w:val="20"/>
          <w:color w:val="231F20"/>
        </w:rPr>
        <w:t xml:space="preserve">establishing manufacturing platforms for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product candidates; and</w:t>
      </w:r>
    </w:p>
    <w:p>
      <w:pPr>
        <w:spacing w:after="0" w:line="128" w:lineRule="exact"/>
        <w:rPr>
          <w:rFonts w:ascii="Arial" w:cs="Arial" w:eastAsia="Arial" w:hAnsi="Arial"/>
          <w:sz w:val="24"/>
          <w:szCs w:val="24"/>
          <w:color w:val="231F20"/>
        </w:rPr>
      </w:pPr>
    </w:p>
    <w:p>
      <w:pPr>
        <w:ind w:left="980" w:hanging="490"/>
        <w:spacing w:after="0"/>
        <w:tabs>
          <w:tab w:leader="none" w:pos="980" w:val="left"/>
        </w:tabs>
        <w:numPr>
          <w:ilvl w:val="0"/>
          <w:numId w:val="28"/>
        </w:numPr>
        <w:rPr>
          <w:rFonts w:ascii="Arial" w:cs="Arial" w:eastAsia="Arial" w:hAnsi="Arial"/>
          <w:sz w:val="24"/>
          <w:szCs w:val="24"/>
          <w:color w:val="231F20"/>
        </w:rPr>
      </w:pPr>
      <w:r>
        <w:rPr>
          <w:rFonts w:ascii="Times New Roman" w:cs="Times New Roman" w:eastAsia="Times New Roman" w:hAnsi="Times New Roman"/>
          <w:sz w:val="20"/>
          <w:szCs w:val="20"/>
          <w:color w:val="231F20"/>
        </w:rPr>
        <w:t>establishing infrastructure from lab bench to a GMP manufacturing and supply chain network.</w:t>
      </w:r>
    </w:p>
    <w:p>
      <w:pPr>
        <w:spacing w:after="0" w:line="20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To support our development activities, we have established process development for our iPSC-derived and fusogen platform therapies. Although our manufacturing processes for these therapies vary, they also share some common challenges and opportunities. For example, product characterization and analytical development are critical, and these capabilities are largely fungible across processes. In addition, we are focusing on key areas in our iPSC-derived therapy processes to enable scaled manufacturing. For stem-cell derived therapies, such as islet cells, we are focusing on developing a scalable process and analytical technologies to characterize stability of the starting cells, end cell products, and critical product quality attributes.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Other companies have stated that they are developing cell and gene therapies that may address type 1 diabetes, oncology, and B cell mediated autoimmune disorders. Some of these companies may have substantially greater financial and other resources than we have, such as larger research and development staff and well-established marketing and salesforces or may operate in jurisdictions where lower standards of evidence are required to bring products to market. For example, we are aware that some of our competitors, including AbbVie Inc., Allogene Therapeutics, Inc., Aspect Biosystems Ltd., AstraZeneca PLC, Bristol-Myers Squibb Company, Cabaletta Bio, Inc., Caribou Biosciences, Inc., Century Therapeutics, Inc., CRISPR Therapeutics AG, Eli Lilly and Company, Gilead Sciences, Inc., Johnson &amp; Johnson, Kelonia Therapeutics, Inc., Kyverna Therapeutics, Inc., Legend Biotech Corporation, Novartis AG, Roche Holding AG, Umoja Biopharma, Inc., and Vertex Pharmaceuticals Inc., might be conducting small- or large-scale clinical trials for therapies that could be competitive with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programs. Among companies pursuing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we believe we are substantially differentiated by our robust intellectual property portfolio, extensive research, rigorous and objective approach, and multidisciplinary capabilities.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w:t>
      </w:r>
    </w:p>
    <w:p>
      <w:pPr>
        <w:sectPr>
          <w:pgSz w:w="11880" w:h="15480" w:orient="portrait"/>
          <w:cols w:equalWidth="0" w:num="1">
            <w:col w:w="10800"/>
          </w:cols>
          <w:pgMar w:left="540" w:top="752" w:right="540" w:bottom="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800"/>
          </w:cols>
          <w:pgMar w:left="540" w:top="752" w:right="540" w:bottom="0" w:gutter="0" w:footer="0" w:header="0"/>
          <w:type w:val="continuous"/>
        </w:sectPr>
      </w:pPr>
    </w:p>
    <w:bookmarkStart w:id="47" w:name="page48"/>
    <w:bookmarkEnd w:id="47"/>
    <w:p>
      <w:pPr>
        <w:ind w:right="80"/>
        <w:spacing w:after="0" w:line="245" w:lineRule="auto"/>
        <w:rPr>
          <w:sz w:val="20"/>
          <w:szCs w:val="20"/>
          <w:color w:val="auto"/>
        </w:rPr>
      </w:pPr>
      <w:r>
        <w:rPr>
          <w:rFonts w:ascii="Times New Roman" w:cs="Times New Roman" w:eastAsia="Times New Roman" w:hAnsi="Times New Roman"/>
          <w:sz w:val="20"/>
          <w:szCs w:val="20"/>
          <w:color w:val="231F20"/>
        </w:rPr>
        <w:t>trade secrets and know-how relating to our proprietary technology and product candidates, continuing innovation, and in-licensing opportunities to develop, strengthen, and maintain our proprietary position in the field of cell and gene therapy. We additionally plan to rely on data exclusivity, market exclusivity, and patent term extensions when available and, where applicable, plan to seek and rely on regulatory protection afforded through orphan drug designations. Our commercial success will depend in part on our ability to obtain and maintain patent and other proprietary protection for our technology, inventions, and improvements, preserve the confidentiality of our trade secrets, maintain our licenses to use intellectual property owned by third parties, defend and enforce our proprietary rights, including our patents, and operate without infringing on the valid and enforceable patents and other proprietary rights of third parties.</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We have in-licensed and own numerous patents and patent applications, which include claims directed to compositions, methods of use, processes, dosing, and formulations, and possess substantial know-how and trade secrets relating to the development and commercialization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and related product candidates, including related manufacturing processes. As of January 2026, our in-licensed and owned patent portfolio consisted of approximately 48 licensed or owned United States issued patents, approximately 57 licensed United States pending patent applications, and approximately 70 owned United States pending patent applications, as well as approximately 101 licensed patents issued in jurisdictions outside of the United States, approximately 234 licensed patent applications pending in jurisdictions outside of the United States, and approximately 238 owned patent applications pending in jurisdictions outside of the United States (including approximately 26 owned pending Patent Cooperation Treaty (PCT) applications) that, in many cases, are counterparts to the foregoing United States patents and patent applications. The patents and patent applications outside of the United States in our portfolio are held primarily in Europe, Canada, China, Japan, and Australia. For information related to our in-licensed intellectual property, see the subsection below titled “—Key Intellectual Property Agreements.”</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For the product candidates and related manufacturing processes we develop and may commercialize in the normal course of business, we intend to pursue, when possible, composition, method of use, process, dosing, and formulation patent protection. We may also pursue patent protection with respect to manufacturing, drug development processes and technology, and our technology platforms. When available to expand our exclusivity, our strategy is to obtain or license additional intellectual property related to current or contemplated development platforms, core elements of technology, and/or product candidates.</w:t>
      </w:r>
    </w:p>
    <w:p>
      <w:pPr>
        <w:spacing w:after="0" w:line="19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and in many jurisdictions worldwide have a term that extends to 20 years from the earliest non-provisional filing date. In the United States, a patent’s term may be lengthened by patent term adjustment, which compensates a patentee for administrative delays by the Unites States Patent and Trademark Office (USPTO) in examining and granting a patent counterbalanced by delays on the part of a patentee, or may be shortened if a patent is terminally disclaimed over another patent. In addition, in certain instances, the term of a United States patent that covers an FDA-approved drug may also be eligible for patent term extension, which recaptures a portion of the term effectively lost due to the testing and regulatory review periods required by the FDA. The patent term extension period cannot be longer than five years, and the total patent term, including the extension, cannot exceed 14 years following FDA approval. There is no guarantee that the applicable authorities will agree with our assessment of whether such extensions should be granted for our patents, and, if granted, the length of such extensions. Similar provisions are available in Europe and other foreign jurisdictions to extend the term of a patent that covers an approved drug. However, the actual protection afforded by a patent varies on a product-by-product and country-to-country basis and depends upon many factors, including the type of patent, the scope of its coverage, the availability of regulatory-related extensions, the validity and enforceability of the patent, and the availability of legal remedies in a particular country.</w:t>
      </w:r>
    </w:p>
    <w:p>
      <w:pPr>
        <w:spacing w:after="0" w:line="212"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Our patents issued as of January 2026 have terms expected to expire on dates ranging from 2029 to 2042. If patents are issued on our patent applications pending as of January 2026, the resulting patents are projected to expire on dates ranging from 2033 to 2046. As discussed elsewhere in this Annual Report, we are currently prioritizing development of our SC451 program for the treatment of type 1 diabetes, which uses our hypoimmune technology, and our SG293 program for the treatment of B cell-mediated diseases, which uses our fusogen technology.</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There are approximately four patent families containing granted patents that are currently material to our SC451 program, which are licensed to us. The first patent family includes patents granted in the United States and Australia, which include composition of matter, use, and process protection, and the last of which is currently expected to expire in 2036. The second patent family includes patents granted in Australia and New Zealand, which include composition of matter, use, and process protection, and the last of which is currently expected to expire in 2038. The third patent family includes patents granted in the United States and Israel, which include composition of matter and process protection, and the last of which is currently expected to expire in 2041. The fourth patent family includes patents granted in Australia and Japan, which include composition of matter, use, and process protection, and the last of which is currently expected to expire in 2039. Each of these patent families also includes pending patent applications in other jurisdictions.</w:t>
      </w:r>
    </w:p>
    <w:p>
      <w:pPr>
        <w:sectPr>
          <w:pgSz w:w="11880" w:h="15480" w:orient="portrait"/>
          <w:cols w:equalWidth="0" w:num="1">
            <w:col w:w="10800"/>
          </w:cols>
          <w:pgMar w:left="540" w:top="750" w:right="540" w:bottom="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800"/>
          </w:cols>
          <w:pgMar w:left="540" w:top="750" w:right="540" w:bottom="0" w:gutter="0" w:footer="0" w:header="0"/>
          <w:type w:val="continuous"/>
        </w:sectPr>
      </w:pPr>
    </w:p>
    <w:bookmarkStart w:id="48" w:name="page49"/>
    <w:bookmarkEnd w:id="48"/>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There are approximately two patent families containing granted patents that are currently material to our SG293 program, which are licensed to us. The first patent family includes patents granted in the United States, Australia, Europe, Hong Kong, Israel, Japan, Korea, Mexico, and Singapore, which include composition of matter, use, and process protection, and the last of which is currently expected to expire in 2039. The second patent family includes patents granted in Australia, Japan, and Korea, which include composition of matter, use, and process protection, and the last of which is currently expected to expire in 2039. Each of these patent families also includes pending patent applications in other jurisdictions.</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some instances, we submit patent applications directly to the USPTO as provisional patent applications. Provisional patent applications were designed to provide a lower-cost first patent filing in the United States. Corresponding non-provisional patent applications must be filed not later than 12 months after the provisional application filing date. The corresponding non-provisional application benefits in that the priority date(s) of this patent application is/are the earlier provisional application filing date(s), and the patent term of the finally issued patent is calculated from the later non-provisional application filing date. This system allows us to obtain an early priority date, add material to the patent application(s) during the priority year, obtain a later start to the patent term, and to delay prosecution costs, which may be useful in the event that we decide not to pursue examination of an application.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file United States non-provisional applications and PCT applications that claim the benefit of the priority date of earlier filed provisional applications, when applicable. The PCT system allows an applicant to file a single application within 12 months of the original priority date of the patent application and to designate all of the 158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20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determine claiming strategy for each patent application on a case-by-case basis. We always consider the advice of counsel and our business model and needs. We file patent applications containing claims for protection of all useful applications of our proprietary technologies and any product candidates, as well as all new applications or uses we discover for existing technologies and product candidates, assuming these are strategically valuable. We continuously reassess the number and type of patent applications, as well as the pending and issued patent claims, to help ensure that maximum coverage and value are obtained for our inventions given existing patent office rules and regulations. Further, claims may be and typically are modified during patent prosecution to meet our intellectual property and business needs.</w:t>
      </w:r>
    </w:p>
    <w:p>
      <w:pPr>
        <w:spacing w:after="0" w:line="200"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31F20"/>
        </w:rPr>
        <w:t>We recognize that the ability to obtain patent protection and the degree of such protection depends on a number of factors, including the extent of the prior art, the novelty and non-obviousness of the invention, and the ability to satisfy the enablement requirement of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platforms. We cannot predict whether the patent applications we are currently pursuing will issue as patents in any particular jurisdiction or whether the claims of any issued patents will provide sufficient proprietary protection from competitors. Further, any patents that we hold may be challenged, circumvented, or invalidated.</w:t>
      </w:r>
    </w:p>
    <w:p>
      <w:pPr>
        <w:spacing w:after="0" w:line="202"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 area of patent and other intellectual property rights in biotechnology continues to evolve and has many risks and uncertainties. The patent positions of companies like ours are generally uncertain and involve complex legal and factual questions. No consistent policy regarding the scope of allowable patent claims in the fields of cell and gene therapy has emerged in the United States. Companies' patent positions outside of the United States can be even more uncertain. Changes in either the patent laws or their interpretation in the United States and worldwide may diminish our ability to protect our inventions and enforce our intellectual property rights, and more generally could affect the value of our intellectual property. In particular, our ability to stop third parties from making, using, selling, offering to sell, or importing products that infringe our intellectual property will depend in part on our ability to obtain and enforce patent claims that cover our technologies, inventions, and improvements. With respect to both our in-licensed and owned intellectual property, we cannot be sure that patents will be granted with respect to any pending patent applications or with respect to any patent applications we may file in the future, nor can we be sure that any of our existing patents or any patents that may be granted to us in the future will be commercially useful in protecting our products and the methods used to manufacture those products. Moreover, our issued patents do not guarantee us the right to practice our technology in relation to the commercialization of our products, as third parties may have blocking patents that could prevent us from commercializing our</w:t>
      </w:r>
    </w:p>
    <w:p>
      <w:pPr>
        <w:sectPr>
          <w:pgSz w:w="11880" w:h="15480" w:orient="portrait"/>
          <w:cols w:equalWidth="0" w:num="1">
            <w:col w:w="10800"/>
          </w:cols>
          <w:pgMar w:left="540" w:top="750" w:right="540" w:bottom="0" w:gutter="0" w:footer="0" w:header="0"/>
        </w:sect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800"/>
          </w:cols>
          <w:pgMar w:left="540" w:top="750" w:right="540" w:bottom="0" w:gutter="0" w:footer="0" w:header="0"/>
          <w:type w:val="continuous"/>
        </w:sectPr>
      </w:pPr>
    </w:p>
    <w:bookmarkStart w:id="49" w:name="page50"/>
    <w:bookmarkEnd w:id="49"/>
    <w:p>
      <w:pPr>
        <w:ind w:right="80"/>
        <w:spacing w:after="0" w:line="242" w:lineRule="auto"/>
        <w:rPr>
          <w:sz w:val="20"/>
          <w:szCs w:val="20"/>
          <w:color w:val="auto"/>
        </w:rPr>
      </w:pPr>
      <w:r>
        <w:rPr>
          <w:rFonts w:ascii="Times New Roman" w:cs="Times New Roman" w:eastAsia="Times New Roman" w:hAnsi="Times New Roman"/>
          <w:sz w:val="20"/>
          <w:szCs w:val="20"/>
          <w:color w:val="231F20"/>
        </w:rPr>
        <w:t>patented product candidates and practicing our proprietary technology. It is uncertain whether the issuance of any patent to a third party would require us to alter our development or commercial strategies, products, or processes, obtain licenses, or cease certain activities. Our breach of any license agreements or our failure to obtain a license to proprietary rights required to develop or commercialize our products may have a material adverse impact on us. If third parties file patent applications in the United States that also claim technology to which we have rights, we may have to participate in interference or derivation proceedings in the USPTO to determine priority of invention. Our issued patents and those that may issue in the future may be challenged, invalidated, or circumvented, which could limit our ability to stop competitors from marketing related products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face competition for our product candidates. Moreover, because of the extensive time required for development, testing, and regulatory review of a potential product candidate, it is possible that, before any particular product candidate can be commercialized, any related patent may expire or remain in force for only a short period following commercialization, thereby reducing any advantage of the patent. Our commercial success will also depend in part on not infringing upon the proprietary rights of third parties. Patent disputes are sometimes interwoven into other business disputes.</w:t>
      </w:r>
    </w:p>
    <w:p>
      <w:pPr>
        <w:spacing w:after="0" w:line="213"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As of January 2026, our registered trademark portfolio contained approximately 25 registered trademarks and pending trademark applications, consisting of approximately three registered trademarks in the United States and approximately 21 registered trademarks and approximately one pending trademark application in the following countries through both national filings and under the Madrid Protocol: Australia, Canada, China, European Union, India, Japan, Republic of Korea, the United Kingdom, Singapore, and Switzerland.</w:t>
      </w:r>
    </w:p>
    <w:p>
      <w:pPr>
        <w:spacing w:after="0" w:line="19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may also rely, in some circumstances, on confidential information, including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advisors, or other third parties use intellectual property owned by others in their work for us, disputes may arise as to the rights in related or resulting know-how and inventions. For additional information regarding this and more comprehensive risks related to our proprietary technology, inventions, improvements, and products, see the subsection titled “Risk Factors —Risks Related to Intellectual Property and Information Technology.”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Intellectual Property Agreements</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The following describes the key agreements by which we have acquired and maintained certain technology related to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and therapeutic programs.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 vivo Cell Engineering Platform</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Harvard</w:t>
      </w:r>
    </w:p>
    <w:p>
      <w:pPr>
        <w:spacing w:after="0" w:line="11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In March 2019, we entered into a license agreement (as amended, the Harvard Agreement) with the President and Fellows of Harvard College (Harvard), pursuant to which we obtained an exclusive, worldwide, sub-licensable license under certain patent rights controlled by Harvard to make, have made, use, offer for sale, sell, have sold and import (i) products and services covered by the patent rights and (ii) products containing stem cells, pluripotent cells or cells derived from stem cells, or pluripotent cells with certain specified genetic modifications ((i) and (ii) together, Harvard Products) or otherwise practice under and exploit the licensed patent rights, for the treatment of disease in humans or, in the case of certain other patent rights, for applications that involve the use of cells derived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from stem cells in the treatment of disease in humans. We also obtained a non-exclusive, sub-licensable license under certain other patent rights in the United States, and a non-exclusive, sub-licensable, worldwide license under know-how pertaining to the licensed patent rights, to make, have made, use, offer for sale, sell, have sold and import the Harvard Products, or otherwise practice under and exploit the licensed patent rights and know-how, for the treatment of disease in humans. We have the option to obtain such non-exclusive rights in additional jurisdictions if Harvard is successful in obtaining the right to grant such rights from the third-party co-owner of such patent rights. In October 2021, we entered into an amendment to the Harvard Agreement to include products containing primary cells with certain specified genetic modifications as Harvard Products. We use these license rights in our </w:t>
      </w:r>
      <w:r>
        <w:rPr>
          <w:rFonts w:ascii="Times New Roman" w:cs="Times New Roman" w:eastAsia="Times New Roman" w:hAnsi="Times New Roman"/>
          <w:sz w:val="20"/>
          <w:szCs w:val="20"/>
          <w:i w:val="1"/>
          <w:iCs w:val="1"/>
          <w:color w:val="231F20"/>
        </w:rPr>
        <w:t xml:space="preserve">ex vivo </w:t>
      </w:r>
      <w:r>
        <w:rPr>
          <w:rFonts w:ascii="Times New Roman" w:cs="Times New Roman" w:eastAsia="Times New Roman" w:hAnsi="Times New Roman"/>
          <w:sz w:val="20"/>
          <w:szCs w:val="20"/>
          <w:color w:val="231F20"/>
        </w:rPr>
        <w:t>cell engineering platform relying on our hypoimmune technology.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800"/>
          </w:cols>
          <w:pgMar w:left="540" w:top="750" w:right="540" w:bottom="0" w:gutter="0" w:footer="0" w:header="0"/>
          <w:type w:val="continuous"/>
        </w:sectPr>
      </w:pPr>
    </w:p>
    <w:bookmarkStart w:id="50" w:name="page51"/>
    <w:bookmarkEnd w:id="50"/>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We are obligated to use commercially reasonable efforts to develop Harvard Products in accordance with a written development plan, to market the Harvard Products following receipt of regulatory approval, and to achieve certain specified development and regulatory milestones within specified time periods, as such period may be extended, for at least two Harvard Products.</w:t>
      </w:r>
    </w:p>
    <w:p>
      <w:pPr>
        <w:spacing w:after="0" w:line="18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The licenses granted pursuant to the Harvard Agreement are subject to certain rights retained by Harvard and the rights of the United States government. The retained rights of Harvard pertain only to the ability of Harvard and other not-for-profit research organizations to conduct academic research and educational and scholarly activities and do not limit our ability to pursue our programs and product candidates. We agreed that we will not use any of the licensed patent rights for human germline modification, including intentionally modifying the DNA of human embryos or human reproductive cells.</w:t>
      </w:r>
    </w:p>
    <w:p>
      <w:pPr>
        <w:spacing w:after="0" w:line="197"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Pursuant to the Harvard Agreement, we paid Harvard an upfront fee of $3.0 million, and we issued 2.2 million shares of our Series A-2 convertible preferred stock (which converted to shares of our common stock in connection with our initial public offering) to Harvard as partial consideration for the licenses granted under the Harvard Agreement. Additionally, we paid $6.0 million to Harvard in connection with the issuance of shares of our Series B convertible preferred stock. We paid Harvard annual license maintenance fees of $20,000 for 2019, $50,000 for 2020, and $100,000 for each of 2021, 2022, 2023, 2024, 2025, and 2026, and we are required to pay annual license maintenance fees of $ 100,000 for each calendar year thereafter for the remainder of the term. We are required to pay Harvard up to an aggregate of $15.2 million per Harvard Product upon the achievement of certain specified development and regulatory milestones for up to a total of five Harvard Products, or an aggregate total of $ 76.0 million for all five Harvard Products. These milestone payments would double if we undergo a change of control. We are also obligated to pay, on a product-by-product and country-by-country basis, royalties in the low single-digit percentage range on quarterly net sales of Harvard Products covered by licensed patent rights, and a lower single-digit percentage royalty on quarterly net sales of Harvard Products not covered by licensed patent rights. The royalty rates with respect to Harvard Products covered by licensed patent rights are also subject to specified and capped reductions for loss of market exclusivity and for payments owed to third parties with respect to patent rights which cover Harvard Products in the territory. We are also obligated to pay Harvard a percentage of certain sublicense income ranging from the high single-digit to low double-digit percentage range. Pursuant to the terms of the Harvard agreement,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Harvard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December 31, 2025, a Harvard Success Payment had not been triggered.</w:t>
      </w:r>
    </w:p>
    <w:p>
      <w:pPr>
        <w:spacing w:after="0" w:line="2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Harvard Agreement will expire upon the expiration of the last-to-expire valid claim within the licensed patent rights or, if later, at the end of the final royalty term, which is determined on a Harvard Product-by-Harvard Product and country-by-country basis, and is the later of (i) the date on which the last valid claim within the licensed patent rights covering such Harvard Product in such country expires, which we expect to occur in 2039, (ii) expiry of regulatory exclusivity for such Harvard Product in such country, or</w:t>
      </w:r>
    </w:p>
    <w:p>
      <w:pPr>
        <w:spacing w:after="0" w:line="1" w:lineRule="exact"/>
        <w:rPr>
          <w:sz w:val="20"/>
          <w:szCs w:val="20"/>
          <w:color w:val="auto"/>
        </w:rPr>
      </w:pPr>
    </w:p>
    <w:p>
      <w:pPr>
        <w:ind w:right="60"/>
        <w:spacing w:after="0"/>
        <w:tabs>
          <w:tab w:leader="none" w:pos="35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 years from the first commercial sale of such Harvard Product in such country. We also have the right to terminate the Harvard Agreement in its entirety for any reason upon 45 days’ prior written notice to Harvard. Either party may terminate the Harvard Agreement upon a material breach by the other party that is not cured within 60 days after receiving written notice thereof. Harvard may terminate the Harvard Agreement upon written notice in the event of our bankruptcy, insolvency, or similar proceedings. If we terminate the Harvard Agreement for convenience, our obligations to pay milestones and royalties with respect to Harvard Products that are not then covered by licensed patent rights will survive for the remainder for the applicable royalty term. If the Harvard Agreement is terminated for any reason, then sublicensees, other than our affiliates or sublicensees in material default or at fault for the termination, have the right to enter into a direct license with Harvard on substantially the same non-economic terms and on economic terms providing for the payment to Harvard of the consideration that would otherwise have been payable if the Harvard Agreement and the sublicense were not terminated.</w:t>
      </w: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UCSF</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January 2019, we entered into a license agreement (as amended, the UCSF Agreement) with The Regents of the University of California (The Regents) acting through its Office of Technology Management, University of California San Francisco (UCSF), pursuant to which we obtained an exclusive license to inventions related to immunoengineered pluripotent cells and derivatives claimed in United States and international patents and patent applications (UCSF Patent Rights) by The Regents. The UCSF Agreement grants us rights to make, have made, use, sell, offer for sale and import licensed products that are covered by such UCSF Patent Rights, provide licensed services, practice licensed methods, and otherwise practice under the UCSF Patent Rights, for use in humans only, in the United States and other countries where The Regents is not prohibited by applicable law from granting such rights under such UCSF Patent Rights. We have the right to sublicense our rights granted under the UCSF Agreement to third parties subject</w:t>
      </w:r>
    </w:p>
    <w:p>
      <w:pPr>
        <w:sectPr>
          <w:pgSz w:w="11880" w:h="15480" w:orient="portrait"/>
          <w:cols w:equalWidth="0" w:num="1">
            <w:col w:w="10800"/>
          </w:cols>
          <w:pgMar w:left="540" w:top="750" w:right="54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800"/>
          </w:cols>
          <w:pgMar w:left="540" w:top="750" w:right="540" w:bottom="0" w:gutter="0" w:footer="0" w:header="0"/>
          <w:type w:val="continuous"/>
        </w:sectPr>
      </w:pPr>
    </w:p>
    <w:bookmarkStart w:id="51" w:name="page52"/>
    <w:bookmarkEnd w:id="51"/>
    <w:p>
      <w:pPr>
        <w:ind w:right="360"/>
        <w:spacing w:after="0" w:line="277" w:lineRule="auto"/>
        <w:rPr>
          <w:sz w:val="20"/>
          <w:szCs w:val="20"/>
          <w:color w:val="auto"/>
        </w:rPr>
      </w:pPr>
      <w:r>
        <w:rPr>
          <w:rFonts w:ascii="Times New Roman" w:cs="Times New Roman" w:eastAsia="Times New Roman" w:hAnsi="Times New Roman"/>
          <w:sz w:val="20"/>
          <w:szCs w:val="20"/>
          <w:color w:val="231F20"/>
        </w:rPr>
        <w:t xml:space="preserve">to certain terms and conditions. We use these license rights in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that relies on our hypoimmune technology.</w:t>
      </w:r>
    </w:p>
    <w:p>
      <w:pPr>
        <w:spacing w:after="0" w:line="16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are obligated, directly or through affiliates or sublicensees, to use commercially reasonable efforts to develop, manufacture, and sell one or more licensed products and licensed services and to bring one or more licensed products or licensed services to market. We are required to use commercially reasonable efforts to obtain all necessary governmental approvals in each country where licensed products or licensed services are manufactured, used, sold, offered for sale, or imported. In addition, we are required to achieve certain specified development and regulatory milestones within specified time periods. We have the ability to extend the time periods for achievement of development and regulatory milestones under certain terms set forth in the UCSF Agreement, including payment of extension fees. If we are unable to complete any of the specified milestones by the completion date, or extended completion date, for such milestone, then The Regents has the right and option to either terminate the Agreement, subject to our ability to cure the applicable breach, or convert our exclusive license to a non-exclusive license.</w:t>
      </w:r>
    </w:p>
    <w:p>
      <w:pPr>
        <w:spacing w:after="0" w:line="20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Regents reserves and retains the right to make, use, and practice the inventions, and any related technology, and to make and use any products and to practice any process that is the subject of the UCSF Patent Rights (and to grant any of the foregoing rights to other educational and non-profit institutions) for educational and non-commercial research purposes, including publications and other communication of research results. This reservation of rights does not limit our ability to pursue our programs and product candidates.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Pursuant to the UCSF Agreement, we paid an upfront license fee of $100,000 to The Regents, and we issued The Regents 0.7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million shares of our Series A-2 convertible preferred stock (which converted to shares of our common stock in connection with our</w:t>
      </w:r>
    </w:p>
    <w:p>
      <w:pPr>
        <w:spacing w:after="0"/>
        <w:rPr>
          <w:sz w:val="20"/>
          <w:szCs w:val="20"/>
          <w:color w:val="auto"/>
        </w:rPr>
      </w:pPr>
      <w:r>
        <w:rPr>
          <w:rFonts w:ascii="Times New Roman" w:cs="Times New Roman" w:eastAsia="Times New Roman" w:hAnsi="Times New Roman"/>
          <w:sz w:val="20"/>
          <w:szCs w:val="20"/>
          <w:color w:val="231F20"/>
        </w:rPr>
        <w:t>initial public offering). In addition, we entered into an amendment to the UCSF Agreement in December 2020, pursuant to which we</w:t>
      </w:r>
    </w:p>
    <w:p>
      <w:pPr>
        <w:spacing w:after="0"/>
        <w:rPr>
          <w:sz w:val="20"/>
          <w:szCs w:val="20"/>
          <w:color w:val="auto"/>
        </w:rPr>
      </w:pPr>
      <w:r>
        <w:rPr>
          <w:rFonts w:ascii="Times New Roman" w:cs="Times New Roman" w:eastAsia="Times New Roman" w:hAnsi="Times New Roman"/>
          <w:sz w:val="20"/>
          <w:szCs w:val="20"/>
          <w:color w:val="231F20"/>
        </w:rPr>
        <w:t>issued 37,500 shares of our common stock to The Regents. We are required to pay annual license maintenance fees of $40,000 per</w:t>
      </w:r>
    </w:p>
    <w:p>
      <w:pPr>
        <w:spacing w:after="0"/>
        <w:rPr>
          <w:sz w:val="20"/>
          <w:szCs w:val="20"/>
          <w:color w:val="auto"/>
        </w:rPr>
      </w:pPr>
      <w:r>
        <w:rPr>
          <w:rFonts w:ascii="Times New Roman" w:cs="Times New Roman" w:eastAsia="Times New Roman" w:hAnsi="Times New Roman"/>
          <w:sz w:val="20"/>
          <w:szCs w:val="20"/>
          <w:color w:val="231F20"/>
        </w:rPr>
        <w:t>year. This fee will not be due if we are selling or exploiting licensed products or licensed services and paying an earned royalty to The</w:t>
      </w:r>
    </w:p>
    <w:p>
      <w:pPr>
        <w:spacing w:after="0"/>
        <w:rPr>
          <w:sz w:val="20"/>
          <w:szCs w:val="20"/>
          <w:color w:val="auto"/>
        </w:rPr>
      </w:pPr>
      <w:r>
        <w:rPr>
          <w:rFonts w:ascii="Times New Roman" w:cs="Times New Roman" w:eastAsia="Times New Roman" w:hAnsi="Times New Roman"/>
          <w:sz w:val="20"/>
          <w:szCs w:val="20"/>
          <w:color w:val="231F20"/>
        </w:rPr>
        <w:t>Regents on net sales of such licensed products or licensed services. We are also required to pay The Regents up to an aggregate of</w:t>
      </w:r>
    </w:p>
    <w:p>
      <w:pPr>
        <w:spacing w:after="0"/>
        <w:rPr>
          <w:sz w:val="20"/>
          <w:szCs w:val="20"/>
          <w:color w:val="auto"/>
        </w:rPr>
      </w:pPr>
      <w:r>
        <w:rPr>
          <w:rFonts w:ascii="Times New Roman" w:cs="Times New Roman" w:eastAsia="Times New Roman" w:hAnsi="Times New Roman"/>
          <w:sz w:val="20"/>
          <w:szCs w:val="20"/>
          <w:color w:val="231F20"/>
        </w:rPr>
        <w:t>$2.45 million per licensed product upon the achievement of certain specified development and regulatory milestones for the first five</w:t>
      </w:r>
    </w:p>
    <w:p>
      <w:pPr>
        <w:spacing w:after="0"/>
        <w:rPr>
          <w:sz w:val="20"/>
          <w:szCs w:val="20"/>
          <w:color w:val="auto"/>
        </w:rPr>
      </w:pPr>
      <w:r>
        <w:rPr>
          <w:rFonts w:ascii="Times New Roman" w:cs="Times New Roman" w:eastAsia="Times New Roman" w:hAnsi="Times New Roman"/>
          <w:sz w:val="20"/>
          <w:szCs w:val="20"/>
          <w:color w:val="231F20"/>
        </w:rPr>
        <w:t>licensed products and half such amount for the second five licensed products, for an aggregate total of $18.4 million in development</w:t>
      </w:r>
    </w:p>
    <w:p>
      <w:pPr>
        <w:spacing w:after="0"/>
        <w:rPr>
          <w:sz w:val="20"/>
          <w:szCs w:val="20"/>
          <w:color w:val="auto"/>
        </w:rPr>
      </w:pPr>
      <w:r>
        <w:rPr>
          <w:rFonts w:ascii="Times New Roman" w:cs="Times New Roman" w:eastAsia="Times New Roman" w:hAnsi="Times New Roman"/>
          <w:sz w:val="20"/>
          <w:szCs w:val="20"/>
          <w:color w:val="231F20"/>
        </w:rPr>
        <w:t>and regulatory milestone payments. Additionally, we are required to pay The Regents up to an aggregate of $0.5 million per licensed</w:t>
      </w:r>
    </w:p>
    <w:p>
      <w:pPr>
        <w:spacing w:after="0"/>
        <w:rPr>
          <w:sz w:val="20"/>
          <w:szCs w:val="20"/>
          <w:color w:val="auto"/>
        </w:rPr>
      </w:pPr>
      <w:r>
        <w:rPr>
          <w:rFonts w:ascii="Times New Roman" w:cs="Times New Roman" w:eastAsia="Times New Roman" w:hAnsi="Times New Roman"/>
          <w:sz w:val="20"/>
          <w:szCs w:val="20"/>
          <w:color w:val="231F20"/>
        </w:rPr>
        <w:t>product upon the achievement of certain commercial milestones for the first five licensed products and half such amount for the</w:t>
      </w:r>
    </w:p>
    <w:p>
      <w:pPr>
        <w:spacing w:after="0"/>
        <w:rPr>
          <w:sz w:val="20"/>
          <w:szCs w:val="20"/>
          <w:color w:val="auto"/>
        </w:rPr>
      </w:pPr>
      <w:r>
        <w:rPr>
          <w:rFonts w:ascii="Times New Roman" w:cs="Times New Roman" w:eastAsia="Times New Roman" w:hAnsi="Times New Roman"/>
          <w:sz w:val="20"/>
          <w:szCs w:val="20"/>
          <w:color w:val="231F20"/>
        </w:rPr>
        <w:t>second five licensed products, for an aggregate total of $3.75 million in commercial milestone payments. With respect to each licensed</w:t>
      </w:r>
    </w:p>
    <w:p>
      <w:pPr>
        <w:spacing w:after="0"/>
        <w:rPr>
          <w:sz w:val="20"/>
          <w:szCs w:val="20"/>
          <w:color w:val="auto"/>
        </w:rPr>
      </w:pPr>
      <w:r>
        <w:rPr>
          <w:rFonts w:ascii="Times New Roman" w:cs="Times New Roman" w:eastAsia="Times New Roman" w:hAnsi="Times New Roman"/>
          <w:sz w:val="20"/>
          <w:szCs w:val="20"/>
          <w:color w:val="231F20"/>
        </w:rPr>
        <w:t>product, licensed service, or licensed method, we are obligated to pay, on a country-by-country basis, tiered royalties on net sales with</w:t>
      </w:r>
    </w:p>
    <w:p>
      <w:pPr>
        <w:spacing w:after="0"/>
        <w:rPr>
          <w:sz w:val="20"/>
          <w:szCs w:val="20"/>
          <w:color w:val="auto"/>
        </w:rPr>
      </w:pPr>
      <w:r>
        <w:rPr>
          <w:rFonts w:ascii="Times New Roman" w:cs="Times New Roman" w:eastAsia="Times New Roman" w:hAnsi="Times New Roman"/>
          <w:sz w:val="20"/>
          <w:szCs w:val="20"/>
          <w:color w:val="231F20"/>
        </w:rPr>
        <w:t>percentages in the low single-digits. The royalty rates are subject to specified capped reductions for payments owed to unaffiliated</w:t>
      </w:r>
    </w:p>
    <w:p>
      <w:pPr>
        <w:spacing w:after="0"/>
        <w:rPr>
          <w:sz w:val="20"/>
          <w:szCs w:val="20"/>
          <w:color w:val="auto"/>
        </w:rPr>
      </w:pPr>
      <w:r>
        <w:rPr>
          <w:rFonts w:ascii="Times New Roman" w:cs="Times New Roman" w:eastAsia="Times New Roman" w:hAnsi="Times New Roman"/>
          <w:sz w:val="20"/>
          <w:szCs w:val="20"/>
          <w:color w:val="231F20"/>
        </w:rPr>
        <w:t>third parties in consideration for patent rights, or patent rights together with know-how, in order to practice licensed methods or to</w:t>
      </w:r>
    </w:p>
    <w:p>
      <w:pPr>
        <w:spacing w:after="0"/>
        <w:rPr>
          <w:sz w:val="20"/>
          <w:szCs w:val="20"/>
          <w:color w:val="auto"/>
        </w:rPr>
      </w:pPr>
      <w:r>
        <w:rPr>
          <w:rFonts w:ascii="Times New Roman" w:cs="Times New Roman" w:eastAsia="Times New Roman" w:hAnsi="Times New Roman"/>
          <w:sz w:val="20"/>
          <w:szCs w:val="20"/>
          <w:color w:val="231F20"/>
        </w:rPr>
        <w:t>make, have made, use sell, offer to sell, or import licensed products or licensed services. We are required to pay to The Regents a</w:t>
      </w:r>
    </w:p>
    <w:p>
      <w:pPr>
        <w:spacing w:after="0"/>
        <w:rPr>
          <w:sz w:val="20"/>
          <w:szCs w:val="20"/>
          <w:color w:val="auto"/>
        </w:rPr>
      </w:pPr>
      <w:r>
        <w:rPr>
          <w:rFonts w:ascii="Times New Roman" w:cs="Times New Roman" w:eastAsia="Times New Roman" w:hAnsi="Times New Roman"/>
          <w:sz w:val="20"/>
          <w:szCs w:val="20"/>
          <w:color w:val="231F20"/>
        </w:rPr>
        <w:t>minimum annual royalty of $100,000 beginning with the year of the first sale of a licensed product or licensed service and ending</w:t>
      </w:r>
    </w:p>
    <w:p>
      <w:pPr>
        <w:spacing w:after="0"/>
        <w:rPr>
          <w:sz w:val="20"/>
          <w:szCs w:val="20"/>
          <w:color w:val="auto"/>
        </w:rPr>
      </w:pPr>
      <w:r>
        <w:rPr>
          <w:rFonts w:ascii="Times New Roman" w:cs="Times New Roman" w:eastAsia="Times New Roman" w:hAnsi="Times New Roman"/>
          <w:sz w:val="20"/>
          <w:szCs w:val="20"/>
          <w:color w:val="231F20"/>
        </w:rPr>
        <w:t>upon the expiration of the last-to-expire UCSF Patent Right. This amount will be credited against any earned royalty due for the 12-</w:t>
      </w:r>
    </w:p>
    <w:p>
      <w:pPr>
        <w:spacing w:after="0"/>
        <w:rPr>
          <w:sz w:val="20"/>
          <w:szCs w:val="20"/>
          <w:color w:val="auto"/>
        </w:rPr>
      </w:pPr>
      <w:r>
        <w:rPr>
          <w:rFonts w:ascii="Times New Roman" w:cs="Times New Roman" w:eastAsia="Times New Roman" w:hAnsi="Times New Roman"/>
          <w:sz w:val="20"/>
          <w:szCs w:val="20"/>
          <w:color w:val="231F20"/>
        </w:rPr>
        <w:t>month period for which the minimum payment was made and will be pro-rated under certain circumstances. We are also obligated to</w:t>
      </w:r>
    </w:p>
    <w:p>
      <w:pPr>
        <w:spacing w:after="0"/>
        <w:rPr>
          <w:sz w:val="20"/>
          <w:szCs w:val="20"/>
          <w:color w:val="auto"/>
        </w:rPr>
      </w:pPr>
      <w:r>
        <w:rPr>
          <w:rFonts w:ascii="Times New Roman" w:cs="Times New Roman" w:eastAsia="Times New Roman" w:hAnsi="Times New Roman"/>
          <w:sz w:val="20"/>
          <w:szCs w:val="20"/>
          <w:color w:val="231F20"/>
        </w:rPr>
        <w:t>pay The Regents a percentage of certain non-royalty sublicense income ranging from the low double-digits to mid-twenties.</w:t>
      </w:r>
    </w:p>
    <w:p>
      <w:pPr>
        <w:spacing w:after="0" w:line="21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The UCSF Agreement will expire on expiration or abandonment of the last valid claims within the UCSF Patent Rights, which we expect to occur in 2040. The Regents has the right to terminate the Agreement if we fail to cure or discontinue a material breach within 60 days of receiving a notice of default. We have the right to terminate the UCSF Agreement in its entirety or under certain UCSF Patent Rights on a country-by-country basis at any time by providing 60 days’ notice of termination to The Regents. The UCSF Agreement will automatically terminate in the event of our bankruptcy that is not dismissed within a specified time period. The Regents may immediately terminate the Agreement upon written notice if we file a non-defensive patent challenge. The termination of the UCSF Agreement will not relieve us of obligations to pay any fees, royalties, or other payments owed to The Regents at the time of such termination or expiration, including the right to receive earned royalties. If the UCSF Agreement is terminated for any reason, then, upon the request of any sublicensee, The Regents will enter into a direct license with such sublicensee on the same terms as the UCSF Agreement, taking into account any difference in license scope, territory, and duration of sublicense grant, provided that such sublicensee is not at the time of such termination in breach of its sublicensing agreement and is not at the time of such termination an opposing party in any legal proceeding against The Regents.</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2019 License Agreement with Washington University</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In November 2019, we entered into an exclusive license agreement (the 2019 WU Agreement) with Washington University, pursuant to which we obtained an exclusive sublicensable, non-transferable, worldwide license under certain Washington University patent rights related to genetically engineered hypoimmunogenic stem cells to research, develop, make, have made, and sell products, the manufacture, use, sale or import of which by us or our sublicensees would, in the absence of the 2019 WU Agreement, infringe at least one valid claim of the licensed patent rights (WU Hypoimmune Products).</w:t>
      </w:r>
    </w:p>
    <w:p>
      <w:pPr>
        <w:sectPr>
          <w:pgSz w:w="11880" w:h="15480" w:orient="portrait"/>
          <w:cols w:equalWidth="0" w:num="1">
            <w:col w:w="10800"/>
          </w:cols>
          <w:pgMar w:left="540" w:top="750" w:right="540" w:bottom="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800"/>
          </w:cols>
          <w:pgMar w:left="540" w:top="750" w:right="540" w:bottom="0" w:gutter="0" w:footer="0" w:header="0"/>
          <w:type w:val="continuous"/>
        </w:sectPr>
      </w:pPr>
    </w:p>
    <w:bookmarkStart w:id="52" w:name="page53"/>
    <w:bookmarkEnd w:id="52"/>
    <w:p>
      <w:pPr>
        <w:ind w:right="380" w:firstLine="490"/>
        <w:spacing w:after="0" w:line="252" w:lineRule="auto"/>
        <w:rPr>
          <w:sz w:val="20"/>
          <w:szCs w:val="20"/>
          <w:color w:val="auto"/>
        </w:rPr>
      </w:pPr>
      <w:r>
        <w:rPr>
          <w:rFonts w:ascii="Times New Roman" w:cs="Times New Roman" w:eastAsia="Times New Roman" w:hAnsi="Times New Roman"/>
          <w:sz w:val="20"/>
          <w:szCs w:val="20"/>
          <w:color w:val="231F20"/>
        </w:rPr>
        <w:t>We are obligated to use commercially reasonable efforts to (i) develop, manufacture, promote and sell WU Hypoimmune Products and (ii) achieve certain development, regulatory, and commercial diligence milestones within specified time periods. We have the ability to extend the time periods for achievement of such milestones under certain terms set forth in the 2019 WU Agreement, including payment of extension fees.</w:t>
      </w:r>
    </w:p>
    <w:p>
      <w:pPr>
        <w:spacing w:after="0" w:line="194"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231F20"/>
        </w:rPr>
        <w:t>Washington University retains the right to make, have made, use, and import WU Hypoimmune Products in fields relating to diagnosis, prevention, and treatment of human diseases or disorders for research and educational purposes, including collaboration with other nonprofit entities, but excluding any commercial purposes, and such retained rights do not limit our ability to pursue our programs and product candidates. Washington University retains all rights not granted to us under the patent rights licensed to us under the 2019 WU Agreement. In addition, the 2019 WU Agreement is subject to certain rights retained by the United States government, including the requirement that licensed products sold in the United States be substantially manufactured in the United States.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Pursuant to the 2019 WU Agreement, we paid Washington University an upfront license issue fee of $75,000. We are required to pay Washington University up to $100,000 per year in license maintenance fees on each anniversary of the 2019 WU Agreement’s effective date until the first commercial sale of a WU Hypoimmune Product. Upon the achievement of certain development and regulatory milestones, we are required to pay Washington University up to an aggregate of $2.0 million in milestone payments per WU Hypoimmune Product for the first three WU Hypoimmune Products, for an aggregate of $6.0 million in development and regulatory milestones. Additionally, upon the achievement of certain commercial milestones, we are required to pay Washington University up to an aggregate of $2.5 million in milestone payments per WU Hypoimmune Product for the first three WU Hypoimmune Products, for an aggregate of $7.5 million in commercial milestones. We are also obligated to pay royalties as a percentage of annual net sales of WU Hypoimmune Products in the low single-digits, subject to a minimum amount of royalties payable in advance. The minimum annual royalty for the first anniversary of the effective date following the first commercial sale will be $100,000 and subsequently will increase up to a maximum minimum annual royalty of $750,000 on the fourth anniversary of the effective date following the first commercial sale. The royalties are payable provided there is at least one valid claim of licensed patent rights present in the country of manufacture or sale. The royalty rates are also subject to specified and capped reduction upon certain other events. Furthermore, we are obligated to pay Washington University a percentage of certain non-royalty sublicense income in the low double-digits.</w:t>
      </w:r>
    </w:p>
    <w:p>
      <w:pPr>
        <w:spacing w:after="0" w:line="212"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The 2019 WU Agreement will expire upon the last-to-expire valid claim under the licensed patent rights, which we expect to occur in 2038. We have the right to terminate the 2019 WU Agreement for any reason upon 90 days’ prior written notice to Washington University. Washington University may terminate the 2019 WU Agreement upon our material breach that is not cured within 30 days after receiving written notice thereof. In addition, Washington University may terminate the 2019 WU Agreement (i) upon 30 days’ written notice if we fail to achieve certain development, regulatory, or commercial diligence milestones and are unable to resolve Washington University’s concerns through good faith negotiations in accordance with the 2019 WU Agreement, (ii) upon our bankruptcy or insolvency, or (iii) if an order is made or a notice is issued convening a meeting of our stockholders to consider the passing of a resolution of our winding up or a resolution is passed for our winding up (in each case, other than for the purpose of amalgamation or reconstruction). If the 2019 WU Agreement terminates prior to the expiration of the last-to-expire licensed patent rights, we agreed (i) to promptly discontinue the exportation of licensed products, (ii) to promptly discontinue the manufacture, sale, and distribution of the licensed products, (iii) to promptly destroy all licensed products in inventory, and (iv) not to manufacture, sell, or distribute licensed products until the expiration of the applicable last-to-expire licensed patent rights.</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2020 License Agreement with Washington University</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In September 2020, we entered into an exclusive license agreement (the 2020 WU Agreement) with Washington University for certain patent rights relating to the methods and compositions of generating cells of endodermal lineage and beta cells and uses thereof. Under the 2020 WU Agreement, we obtained an exclusive, worldwide, non-transferable, and royalty-bearing license under the patent rights to research, develop, make, have made, sell, offer for sale, have sold, use, have used, export, and import licensed products, the manufacture, use, sale or import of which by us or our sublicensees would, in the absence of the 2020 WU Agreement, infringe at least one valid claim of the licensed patent rights, solely in fields relating to diagnosis, prevention, and treatment of human diseases or disorders. We use these license rights in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that relies on our hypoimmune technology, including our pancreatic islet cell program.</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are obligated to use commercially reasonable efforts to (i) develop, manufacture, promote, and sell licensed products, and</w:t>
      </w:r>
    </w:p>
    <w:p>
      <w:pPr>
        <w:spacing w:after="0" w:line="28" w:lineRule="exact"/>
        <w:rPr>
          <w:sz w:val="20"/>
          <w:szCs w:val="20"/>
          <w:color w:val="auto"/>
        </w:rPr>
      </w:pPr>
    </w:p>
    <w:p>
      <w:pPr>
        <w:ind w:right="180"/>
        <w:spacing w:after="0" w:line="244" w:lineRule="auto"/>
        <w:tabs>
          <w:tab w:leader="none" w:pos="295"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achieve certain development, regulatory, and commercial diligence milestones within specified time periods. We have the ability to extend the time periods for achievement of such milestones under certain terms set forth in the 2020 WU Agreement, including payment of extension fees.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50" w:right="540" w:bottom="0" w:gutter="0" w:footer="0" w:header="0"/>
          <w:type w:val="continuous"/>
        </w:sectPr>
      </w:pPr>
    </w:p>
    <w:bookmarkStart w:id="53" w:name="page54"/>
    <w:bookmarkEnd w:id="53"/>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Washington University retains the right to use the licensed patent rights to make, have made, use, and import licensed products worldwide in fields relating to diagnosis, prevention, and treatment of human disease or disorders for research and educational purposes, including collaboration with other nonprofit entities, but expressly excluding any commercial purposes, and such retained rights do not limit our ability to pursue our programs and product candidates. In addition, the 2020 WU Agreement is subject to certain rights retained by the United States government, including the requirement that licensed products sold in the United States be substantially manufactured in the United States.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Pursuant to the 2020 WU Agreement, we paid Washington University an upfront license issue fee of $150,000. We are required to pay Washington University up to $100,000 per year in license maintenance fees on each anniversary of the 2020 WU Agreement’s effective date until the first commercial sale of a licensed product. Upon the achievement of certain development and regulatory milestones, we are required to pay Washington University up to an aggregate of $2.0 million per licensed product for the first three licensed products under the 2020 WU Agreement, for an aggregate of $6.0 million in development and regulatory milestones. Additionally, of certain commercial milestones, we are required to pay Washington University up to an aggregate of $4.5 million per licensed product for the first three licensed products under the 2020 WU Agreement, for an aggregate of $13.5 million in commercial milestones. We are also obligated to pay royalties as a percentage of annual net sales of licensed products in the low single-digits, subject to a minimum amount of royalties payable in advance. The minimum annual royalty for the first anniversary of the effective date following the first commercial sale will be $100,000 and subsequently will increase up to a maximum minimum annual royalty of $750,000 on the fourth anniversary of the effective date following the first commercial sale. The royalties are payable provided there is at least one valid claim of licensed patent rights present in the country of manufacture or sale. The royalty rates are also subject to specified and capped reduction upon certain other events. Furthermore, we are obligated to pay Washington University a percentage of certain non-royalty sublicense income in the low double-digits.</w:t>
      </w:r>
    </w:p>
    <w:p>
      <w:pPr>
        <w:spacing w:after="0" w:line="213"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The 2020 WU Agreement will expire upon the last-to-expire valid claim under the licensed patent rights, which we expect to occur in 2039. We have the right to terminate the 2020 WU Agreement for any reason upon 90 days’ prior written notice to Washington University. Washington University may terminate the 2020 WU Agreement upon our material breach that is not cured within 30 days after receiving written notice thereof. In addition, Washington University may terminate the 2020 WU Agreement (i) upon 30 days’ written notice if we fail to achieve certain development, regulatory, or commercial diligence milestones and are unable to resolve Washington University’s concerns through good faith negotiations in accordance with the 2020 WU Agreement, (ii) upon our bankruptcy or insolvency, or (iii) if an order is made or a notice is issued convening a meeting of our stockholders to consider the passing of a resolution of our winding up or a resolution is passed for our winding up (in each case, other than for the purpose of amalgamation or reconstruction). If the 2020 WU Agreement terminates prior to the expiration of the last-to-expire licensed patent rights, we agreed (i) to promptly discontinue the exportation of licensed products, (ii) to promptly discontinue the manufacture, sale and distribution of the licensed products, (iii) to promptly destroy all licensed products in inventory, and (iv) not to manufacture, sell, or distribute licensed products until the expiration of the applicable last-to-expire licensed patent rights.</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FCDI</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In February 2021, we entered into a non-exclusive license and development agreement (as amended, the FCDI Agreement) with FUJIFILM Cellular Dynamics, Inc. (FCDI), pursuant to which we obtained non-exclusive rights and a license under certain intellectual property rights controlled by FCDI (including intellectual property rights owned by FCDI and patent rights in-licensed from the Wisconsin Alumni Research Foundation) to research, develop, make, have made, use, have used, sell, offer for sale, import, and otherwise exploit human cell therapy products derived from certain iPSC lines for the treatment or prevention of certain diseases.</w:t>
      </w:r>
    </w:p>
    <w:p>
      <w:pPr>
        <w:spacing w:after="0" w:line="197"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31F20"/>
        </w:rPr>
        <w:t>Pursuant to the FCDI Agreement, we agreed to pay FCDI an upfront fee of $1.0 million, annual license maintenance fees, and license fees of up to $500,000 per indication for one certain cell type or up to $350,000 per indication for certain other cell types. We are required to pay FCDI up to an aggregate of $28.5 million per indication upon the achievement of certain specified development and regulatory milestones for up to a total of three indications and up to an aggregate of $ 14.25 million in specified development and regulatory milestones for each additional indication. We are also required to pay up to an aggregate of $8.8 million per product upon the achievement of certain specified commercial milestones. In addition, we are obligated to pay royalties on worldwide annual net sales of the relevant products in the low- to mid-single digits, which obligation shall commence upon the first commercial sale of a relevant product and shall expire after 15 years on a product-by-product and country-by-country basis. The royalty rates are also subject to reduction upon certain other events.</w:t>
      </w:r>
    </w:p>
    <w:p>
      <w:pPr>
        <w:spacing w:after="0" w:line="206"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FCDI Agreement will continue until terminated in accordance with its terms. FCDI may terminate the FCDI Agreement upon giving written notice if we fail to make any payment due or upon our material breach, subject, in each case, to our ability to dispute or cure such breach. We may terminate the FCDI Agreement for convenience upon prior written notice, and either party may terminate upon giving written notice in the event of the other party’s bankruptcy.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50" w:right="540" w:bottom="0" w:gutter="0" w:footer="0" w:header="0"/>
          <w:type w:val="continuous"/>
        </w:sectPr>
      </w:pPr>
    </w:p>
    <w:bookmarkStart w:id="54" w:name="page55"/>
    <w:bookmarkEnd w:id="54"/>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Beam</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In October 2021, we entered into an option and license agreement (as amended, the Beam Agreement) with Beam Therapeutics, Inc. (Beam), pursuant to which Beam granted us a non-exclusive license to use Beam’s proprietary CRISPR Cas12b nuclease editing technology for a specified number of gene editing targets to research, develop, and commercialize engineered cell therapy products that (i) are directed to certain antigen targets, with respect to allogeneic T cell products, or (ii) comprise certain human cell types, with respect to stem cell-derived products. We are permitted to use the CRISPR Cas12b system to modify or introduce,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selected genetic sequences with respect to licensed products. The Beam Agreement excludes any rights to base editing using the CRISPR Cas12b system.</w:t>
      </w:r>
    </w:p>
    <w:p>
      <w:pPr>
        <w:spacing w:after="0" w:line="20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Pursuant to the Beam Agreement, we originally had the option, for a period of one year from the effective date of the Beam Agreement, to select additional antigen targets, with respect to allogeneic T cell products, or human cell types, with respect to stem cell-derived products, in each case, upon our payment of an option payment of $10.0 million per antigen target or cell type. We subsequently amended the Beam Agreement in July 2022 to extend the term of the option period and to add certain additional rights to the scope of the license for the purpose of supporting research and development of licensed products, and amended the Beam Agreement again in March 2023 to further extend such option period. In April 2024, we further amended the Beam Agreement to further extend such option period and increase the amount of the option payment, and we subsequently amended the Beam Agreement, effective October 2024, to replace certain antigen targets. Subject to certain limitations, (i) until the expiration of such option period, we had the right to elect to replace an antigen target, with respect to allogeneic T cell products, or human cell type, with respect to stem cell-derived products previously selected by us, and (ii) for a period of three years from the effective date of the Beam Agreement, we had the right to select new gene editing targets, or replace gene editing targets previously selected by us, with respect to any licensed product.</w:t>
      </w:r>
    </w:p>
    <w:p>
      <w:pPr>
        <w:spacing w:after="0" w:line="20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Pursuant to the Beam Agreement, we paid Beam an upfront payment of $50.0 million. Additionally, with respect to each licensed product, we will be obligated to pay to Beam up to $65.0 million in specified developmental and commercial milestones. We will also be obligated to pay to Beam an aggregate royalty, including any royalty owed by Beam to its licensor, on a licensed product-by-licensed product and country-by-country basis, in the low to mid-single-digits, subject to reduction in certain circumstances, on net sales of each licensed product until the latest of (i) the expiration of certain patents covering such licensed product in the applicable country, which we expect to occur in 2039, (ii) the date on which any applicable regulatory exclusivity, including orphan drug, new chemical entity, data or pediatric exclusivity, with respect to such licensed product expires in such country, or (iii) the 10th anniversary of the first commercial sale of such licensed product in such country.</w:t>
      </w:r>
    </w:p>
    <w:p>
      <w:pPr>
        <w:spacing w:after="0" w:line="20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Unless earlier terminated by either party, the Beam Agreement will expire on a licensed product-by-licensed product and country-by-country basis upon the expiration of our payment obligations with respect to each licensed product thereunder. We may terminate the Beam Agreement in its entirety or on an antigen target-by-antigen target basis (with respect to allogeneic T cell licensed products), on a cell type-by-cell type basis (with respect to stem cell-derived licensed products), or on a licensed product-by-licensed product basis, in each case, upon (i) 90 days’ advance written notice, if such notice is provided prior to the first commercial sale of a licensed product, or (ii) 180 days’ advance written notice, if such notice is provided after the first commercial sale of a licensed product. Either party may terminate the Beam Agreement with written notice for the other party’s material breach if such breaching party fails to timely cure the breach with respect to the country in which such material breach relates. Beam may terminate the Beam Agreement in its entirety if we or our affiliates or sublicensees commence a legal action challenging the validity, patentability, enforceability, or scope of any of the patent rights licensed to us thereunder. Either party also may terminate the Beam Agreement in its entirety upon certain insolvency events involving the other party.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 Vivo Cell Engineering Platform</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Cobalt Acquisition</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February 2019, we acquired all of the outstanding equity interests in Cobalt Biomedicine, Inc. (Cobalt), a privately-held early-stage biotechnology company, in consideration of the issuance of 36.4 million shares of our Series A-2 convertible preferred stock, valued at $ 136.0 million. Of the 36.4 million shares of Series A-2 convertible preferred stock issued, 12.1 million shares were contingent on the achievement of a pre-specified development milestone, which was achieved in July 2019. Pursuant to the terms and conditions of the Cobalt acquisition agreement (the Cobalt Merger Agreement), we are obligated to pay to certain former Cobalt stockholders contingent consideration (Cobalt Contingent Consideration) of up to an aggregate of $500.0 million upon our achievement of certain pre-specified development milestones and a success payment (Cobalt Success Payment) of up to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biologics license application or new drug application for a product based on the fusogen technology. A valuation measurement date would also be triggered upon a change of control if at least one of our programs based on the fusogen technology is the subject of an active research program at the time of such</w:t>
      </w:r>
    </w:p>
    <w:p>
      <w:pPr>
        <w:sectPr>
          <w:pgSz w:w="11880" w:h="15480" w:orient="portrait"/>
          <w:cols w:equalWidth="0" w:num="1">
            <w:col w:w="10800"/>
          </w:cols>
          <w:pgMar w:left="540" w:top="752" w:right="540" w:bottom="0"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800"/>
          </w:cols>
          <w:pgMar w:left="540" w:top="752" w:right="540" w:bottom="0" w:gutter="0" w:footer="0" w:header="0"/>
          <w:type w:val="continuous"/>
        </w:sectPr>
      </w:pPr>
    </w:p>
    <w:bookmarkStart w:id="55" w:name="page56"/>
    <w:bookmarkEnd w:id="55"/>
    <w:p>
      <w:pPr>
        <w:ind w:right="120"/>
        <w:spacing w:after="0" w:line="245" w:lineRule="auto"/>
        <w:rPr>
          <w:sz w:val="20"/>
          <w:szCs w:val="20"/>
          <w:color w:val="auto"/>
        </w:rPr>
      </w:pPr>
      <w:r>
        <w:rPr>
          <w:rFonts w:ascii="Times New Roman" w:cs="Times New Roman" w:eastAsia="Times New Roman" w:hAnsi="Times New Roman"/>
          <w:sz w:val="20"/>
          <w:szCs w:val="20"/>
          <w:color w:val="231F20"/>
        </w:rPr>
        <w:t>change of control. If there is a change of control and our market capitalization is below $8.1 billion as of the date of such change of control, the amount of the potential Cobalt Success Payment will decrease, and the amount of potential Cobalt Contingent Consideration will increase. As a result of the Cobalt transaction, we obtained licenses to various technologies and intellectual property rights that relate to the development of our fusogen technology and related fusosome programs, including exclusive license agreements with Flagship Pioneering Innovations V, Inc. (Flagship) and La Societe Pulsalys (Pulsalys), as well as several exclusive options to enter into exclusive license agreements, including one such option with The Regents of the University of California acting through The Technology Development Group of the University of California, Los Angeles (UCLA), with which we later entered into an exclusive license agreement.</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License Agreement with Flagship</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In February 2016, Cobalt entered into an agreement (as amended, the Flagship Agreement) with Flagship, pursuant to which (i) Cobalt irrevocably and unconditionally assigned to Flagship all of its right, title and interest in and to certain foundational intellectual property developed by Flagship Pioneering, Inc. (Flagship Management) during the exploration and/or proto-company phase of Cobalt prior to its spin-out from Flagship (the Managerial Agreement), as set forth in the Flagship Agreement (such foundational intellectual property, the Fusogen Foundational IP), and (ii) Cobalt obtained an exclusive, worldwide, royalty-bearing, sublicensable, transferable license from Flagship under such Fusogen Foundational IP to develop, manufacture, and commercialize any product or process or component thereof, the development, manufacturing and commercialization of which would infringe at least one valid claim of Fusogen Foundational IP absent the license granted under the Flagship Agreement (Fusogen Products) in the field of human therapeutics during the term of the Flagship Agreement. In addition, Flagship irrevocably and unconditionally assigned to Cobalt all of its right, title, and interest in and to any and all patents claiming any inventions conceived (i) solely by Flagship Management or jointly by Flagship Management and Cobalt, (ii) after Cobalt’s spinout from Flagship, and (iii) as a result of activities conducted pursuant the Managerial Agreement or other participation of Flagship Management in Cobalt’s affairs, but excluding Fusogen Foundational IP. We use the rights granted by Flagship under the Flagship Agreement in our fusogen platform and related therapeutic product candidates. The license granted to Fusogen Foundational IP is contingent upon Cobalt’s compliance with its obligations under the Flagship Agreement. Under the Flagship Agreement, Cobalt also granted Flagship a non-exclusive, worldwide, royalty-free, fully paid, sublicensable license to practice the Fusogen Foundational IP within the field of human therapeutics solely to perform under the Managerial Agreement.</w:t>
      </w:r>
    </w:p>
    <w:p>
      <w:pPr>
        <w:spacing w:after="0" w:line="20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Pursuant to the Flagship Agreement, Cobalt is obligated to pay, on a Fusogen Product-by-Fusogen Product and jurisdiction-by-jurisdiction basis, royalties in the low single-digit percentage on net sales of Fusogen Products. The Flagship Agreement will expire on the expiration of the last-to-expire royalty term, which is determined on a Fusogen Product-by-Fusogen Product and jurisdiction-by-jurisdiction basis, and occurs on the earlier of (i) the expiration of the last valid claim of any Fusogen Foundational IP covering such Fusogen Product, which we expect to occur in 2041, or (ii) the date on which the last applicable additional milestone payment has been made in accordance with the Cobalt Merger Agreement. Upon expiration of the royalty term with respect to a Fusogen Product in any jurisdiction and payment in full of all amounts owed under the Flagship Agreement for such Fusogen Product, the license granted to us will automatically convert into a non-exclusive, fully paid-up license for such Fusogen Product in such jurisdiction. We have the right to terminate the Flagship Agreement in its entirety for convenience upon 60 days' written notice. Either party may terminate the Flagship Agreement upon a material breach by the other party that is not cured within 30 days after receiving written notice. Flagship may terminate the Flagship Agreement (i) upon 30 days’ written notice if we cease to carry on our business with respect to the rights granted in the Flagship Agreement, (ii) upon written notice if we experience an event of bankruptcy, or (iii) immediately upon written notice if we challenge the validity, patentability, or enforceability of any Fusogen Foundational IP or participate in any such challenge.</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Sublicense Agreement with Pulsalys</w:t>
      </w:r>
    </w:p>
    <w:p>
      <w:pPr>
        <w:spacing w:after="0" w:line="11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In August 2018, Cobalt entered into an exclusive sublicense agreement (as amended, the Pulsalys Agreement), with Pulsalys, which Cobalt assigned to us in May 2020, and pursuant to which we obtained an exclusive, worldwide, sublicensable sublicense from Pulsalys of the exclusive license granted to Pulsalys by École normale supérieure de Lyon (ENS Lyon) on behalf of itself and Institut National de la Santé et de la Recherche Médicale (Inserm), Centre National de la Recherche Scientifique (CNRS), and Université Claude Bernard Lyon 1 (collectively, the Co-Owners) under certain patent rights relating to methods to selectively modulate the activity of distinct subtypes of immune cells using engineered virus-like particles. In addition, Pulsalys granted us the first right to negotiate an exclusive license to patent rights covering certain improvements to the licensed patent rights that are owned or held by Pulsalys. We and Pulsalys subsequently amended this agreement in July 2023 and October 2024.</w:t>
      </w:r>
    </w:p>
    <w:p>
      <w:pPr>
        <w:spacing w:after="0" w:line="192"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We use the rights granted under the Pulsalys Agreement in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fusogen platform and related fusosome programs. Under the Pulsalys Agreement, we are obligated to use commercially reasonable efforts to develop and commercialize licensed products, which efforts we can demonstrate by the achievement of the following diligence milestones: (i) incurring a minimum annual spend of $1.0 million for a certain period of time following the effective date of the Pulsalys Agreement, and (ii) submitting an IND within a</w:t>
      </w:r>
    </w:p>
    <w:p>
      <w:pPr>
        <w:sectPr>
          <w:pgSz w:w="11880" w:h="15480" w:orient="portrait"/>
          <w:cols w:equalWidth="0" w:num="1">
            <w:col w:w="10800"/>
          </w:cols>
          <w:pgMar w:left="540" w:top="750" w:right="540" w:bottom="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800"/>
          </w:cols>
          <w:pgMar w:left="540" w:top="750" w:right="540" w:bottom="0" w:gutter="0" w:footer="0" w:header="0"/>
          <w:type w:val="continuous"/>
        </w:sectPr>
      </w:pPr>
    </w:p>
    <w:bookmarkStart w:id="56" w:name="page57"/>
    <w:bookmarkEnd w:id="56"/>
    <w:p>
      <w:pPr>
        <w:ind w:right="40"/>
        <w:spacing w:after="0" w:line="258" w:lineRule="auto"/>
        <w:rPr>
          <w:sz w:val="20"/>
          <w:szCs w:val="20"/>
          <w:color w:val="auto"/>
        </w:rPr>
      </w:pPr>
      <w:r>
        <w:rPr>
          <w:rFonts w:ascii="Times New Roman" w:cs="Times New Roman" w:eastAsia="Times New Roman" w:hAnsi="Times New Roman"/>
          <w:sz w:val="20"/>
          <w:szCs w:val="20"/>
          <w:color w:val="231F20"/>
        </w:rPr>
        <w:t>certain period of time following the effective date of the Pulsalys Agreement. Under the Pulsalys Agreement, the Co -Owners will retain the right to practice the licensed patent rights for non-commercial research purposes, alone or in collaboration with third parties. These retained rights do not affect our ability to pursue our programs and product candidates.</w:t>
      </w:r>
    </w:p>
    <w:p>
      <w:pPr>
        <w:spacing w:after="0" w:line="18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Pursuant to the Pulsalys Agreement, Cobalt paid Pulsalys an upfront fee of 18,000 EUR. We are required to pay an annual license maintenance fee of 18,000 EUR until the first commercial sale of a licensed product. We are also required to pay Pulsalys up to an aggregate of 865,000 EUR upon the achievement of such development and regulatory milestones for each of the first three distinct licensed products. In addition, we are obligated to pay an annual royalty in the low single-digits on net sales of the licensed products, with the royalty rate being subject to reduction upon certain events. Lastly, we are obligated to pay percentage annual fees on certain sublicense income in the low single-digits.</w:t>
      </w:r>
    </w:p>
    <w:p>
      <w:pPr>
        <w:spacing w:after="0" w:line="20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The Pulsalys Agreement will expire on a country-by-country and licensed product-by-licensed product basis upon the expiration of the last-to-expire valid claim within the licensed patent rights covering the making, using, sale, and import of such licensed product in such country which we expect to occur in 2039, or any patent term extension or supplementary protection certificate thereof covering the sale of such licensed product in such country. We also have the right to terminate the Pulsalys Agreement in its entirety upon notice if we determine, in our sole discretion, that continued pursuit of development of the licensed patent rights is not feasible or desirable in the context of (i) the resources available to us or due to external factors such as competition, market forces, or access or license to other reasonably useful intellectual property, or (ii) a change of direction of our business focus. Either party may terminate the Pulsalys Agreement upon a material breach by the other party that is not cured within 90 days after receiving written notice thereof. Pulsalys may terminate the Pulsalys Agreement (i) in full if we undergo a cessation of business, dissolution or voluntary liquidation, or (ii) in full or in part (x) if we challenge the validity of the licensed patents, provided that such termination will be with respect to the claims within the licensed patents that are the subject of such challenge, or (y) if we fail to achieve the diligence milestones, and if the parties have not extended such milestones after good faith negotiations, and subject to our ability to cure such failure within 90 days after notice of the same.</w:t>
      </w: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UCLA</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In March 2019, we entered into a license agreement (as amended, the UCLA Agreement) with UCLA, pursuant to the exercise of an option originally granted by UCLA to Cobalt in April 2018. Under the UCLA Agreement, UCLA granted us an exclusive, sublicensable, transferable (subject to certain conditions) license in the licensed territory in the field of human therapeutics under certain patent rights relating to certain virus envelope pseudotyped lentiviruses and methods of their use to (i) research, make, have made, use, sell, offer for sale, have sold, and import licensed products and (ii) practice licensed methods for the purposes of researching, manufacturing, and using licensed products, but not to perform services for a fee. The licensed territory under the UCLA Agreement is all countries of the world in which the licensed patent rights have or will be filed. UCLA agreed not to grant any rights under the licensed patents regarding licensed methods to third parties without first offering us an opportunity to remove the restrictions regarding the use of licensed methods to perform services for a fee. In addition, we agreed not to commercialize any licensed product that is not administered directly to a patient for therapeutic purposes without first negotiating with UCLA for possible development milestones, royalties, or other payments applicable to such licensed products. We use the rights granted under the UCLA Agreement in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fusogen platform and related fusosome programs. We are obligated to use commercially reasonable and diligent efforts to (i) develop licensed products, (ii) market licensed products, and (iii) manufacture and sell licensed products in quantities sufficient to meet market demand. We are also required to satisfy certain development and commercial milestones with respect to at least one licensed product that is administered directly to a patient for therapeutic purposes. In May 2021 and April 2024, we and UCLA amended the UCLA Agreement to extend the timelines by which we are required to achieve certain of such milestones. Pursuant to the April 2024 amendment, we agreed to pay UCLA a fee of $100,000 for such extension, as provided under the terms of the original UCLA Agreement.</w:t>
      </w:r>
    </w:p>
    <w:p>
      <w:pPr>
        <w:spacing w:after="0" w:line="206"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231F20"/>
        </w:rPr>
        <w:t>The license granted pursuant to the UCLA Agreement is subject to certain rights retained by the California Institute for Regenerative Medicine (CIRM) and the United States government, including a non-exclusive, royalty-free license granted to the United States government in accordance with 35 U.S.C. §200-212. If CIRM exercises its rights under Title 17, California Code of Regulations, Section 100600, and the scope of our exclusive license under the UCLA Agreement is impacted, then our financial obligations therein will be reduced by 50%. Otherwise, rights retained by CIRM do not limit our ability to pursue our programs and product candidates. In addition, UCLA retains the right to (i) use the licensed patent rights for educational and research purposes and research sponsored by commercial entities, (ii) publicly disclose research results, (iii) use the licensed patent rights to offer and perform clinical diagnostic and prognostic care solely within the University of California system, and (iv) allow other non-profit and academic institutions to use the licensed patent rights for educational and research purposes and research sponsored by commercial entities, as well as to publicly disclose research results. These retained rights do not affect our ability to pursue our programs and product candidates.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800"/>
          </w:cols>
          <w:pgMar w:left="540" w:top="750" w:right="540" w:bottom="0" w:gutter="0" w:footer="0" w:header="0"/>
          <w:type w:val="continuous"/>
        </w:sectPr>
      </w:pPr>
    </w:p>
    <w:bookmarkStart w:id="57" w:name="page58"/>
    <w:bookmarkEnd w:id="57"/>
    <w:p>
      <w:pPr>
        <w:ind w:firstLine="490"/>
        <w:spacing w:after="0" w:line="241" w:lineRule="auto"/>
        <w:rPr>
          <w:sz w:val="20"/>
          <w:szCs w:val="20"/>
          <w:color w:val="auto"/>
        </w:rPr>
      </w:pPr>
      <w:r>
        <w:rPr>
          <w:rFonts w:ascii="Times New Roman" w:cs="Times New Roman" w:eastAsia="Times New Roman" w:hAnsi="Times New Roman"/>
          <w:sz w:val="20"/>
          <w:szCs w:val="20"/>
          <w:color w:val="231F20"/>
        </w:rPr>
        <w:t>Pursuant to the UCLA Agreement, we paid UCLA an upfront license issue fee of $25,000. We also reimbursed UCLA for its past patent costs, and we have a continuing obligation to reimburse UCLA for its patent costs during the term of the UCLA Agreement. For licensed products that are administered directly to a patient for therapeutic purposes, we are required to pay UCLA up to an aggregate of (i) $ 825,000 upon the achievement of certain pre-specified development milestones for each of the first three such licensed products, and (ii) $15.0 million upon the achievement of certain pre-specified commercial milestones for such licensed products. In addition, we are obligated to pay an annual license maintenance fee beginning on the first anniversary of the UCLA Agreement until the first commercial sale of a licensed product. The license maintenance fee for the first anniversary was $10,000, and subsequently increases by $10,000 per anniversary up to a maximum annual license maintenance fee of $100,000. We are also required to pay, on a country-by-country basis, earned royalty percentages in the low single-digits on net sales of the licensed products, with the royalty rate being subject to reduction upon certain events. We are obligated to pay a minimum annual royalty of $100,000 beginning with the first full calendar year after the first commercial sale of a licensed product, and the minimum annual royalty will be credited against the earned royalty made during the same calendar year. If any claim within the licensed patent rights is held invalid or unenforceable in a final decision by a court of competent jurisdiction, all royalty obligations with respect to that claim or any claim patentably indistinct from it will expire as of the date of that final decision. No royalties will be collected or paid on licensed products sold to the United States government to the extent required by law, and we will be required to reduce the amount charged for licensed products distributed to the United States government by the amount of the royalty that otherwise would have been paid. Furthermore, we are obligated to pay UCLA tiered fees on a percentage of certain sublicense income in the low single-digit to low double-digit range. Lastly, if we challenge the validity of any licensed patent rights, we agree to pay UCLA all royalties and other amounts due in view of our activities under the UCLA Agreement during the period of challenge. If such challenge fails, we are required to pay two times the royalty rate paid during the period of such challenge for the remaining term of the UCLA Agreement and all of UCLA’s verifiable legal out-of-pocket fees and costs incurred in defending against such challenge, including attorney’s fees.</w:t>
      </w:r>
    </w:p>
    <w:p>
      <w:pPr>
        <w:spacing w:after="0" w:line="2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UCLA Agreement will expire on the later of the expiration of the last-to-expire patent in the licensed patent rights, which we expect to occur in 2033, or the last to be abandoned patent application in the licensed patent rights. We also have the right to terminate the UCLA Agreement in its entirety or with respect to any portion of the licensed patent rights for any reason upon 90 days’ prior written notice to UCLA. UCLA may terminate the UCLA Agreement upon a material breach by us that is not cured within 90 days after receiving written notice. If the breach is incapable of being cured within such period, then UCLA will consider our efforts to avoid, and to take reasonable steps to cure, such breach when determining whether to terminate the UCLA Agreement. Also, UCLA has the right and option, at its sole discretion, to either terminate the UCLA Agreement or reduce our exclusive license to a non-exclusive license if we fail to (i) exercise commercially reasonable and diligent efforts to develop, market, manufacture, and sell licensed products, or (ii) achieve certain development milestones set forth in the UCLA Agreement, subject to our ability to extend such milestones in accordance with terms set forth in the UCLA Agreement. Upon our termination of the UCLA Agreement, we may continue to sell any previously manufactured licensed products for 180 days after the effective date of termination. Upon termination of the UCLA Agreement by UCLA for our failure to reimburse UCLA for certain patent costs after the applicable cure period, we may continue to sell all previously made licensed products for 180 days after the effective date of the notice of termination; however, this right is not available if the UCLA Agreement is terminated for any other cause.</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License Agreement with the NIH</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In January 2022, we entered into a patent license agreement (the NIH Agreement) with the U.S. Department of Health and Human Services, as represented by The National Cancer Institution, an institute of the National Institutes of Health (the NIH), pursuant to which the NIH granted to us an exclusive, worldwide, commercial license under certain patent rights related to certain fully-human anti-CD22 binders and CD22 CAR constructs comprising such binders for use in certain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gene therapy and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allogeneic CAR T cell applications for B cell malignancies. The license grant is subject to customary statutory requirements and reserved rights as required under federal law and NIH requirements. We have the right to grant sublicenses under the licensed patent rights with the NIH’s prior consent.</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Pursuant to the NIH Agreement, we paid to the NIH an upfront payment of $1.0 million. Additionally, we will be obligated to pay to the NIH (i) up to an aggregate of $9.6 million in specified regulatory, developmental, and commercial milestone payments with respect to each licensed product, and (ii) a payment of $1.0 million upon the assignment of the NIH Agreement to an affiliate upon a change of control. In addition, we are obligated to pay to the NIH (a) a royalty on net sales of licensed products in the low-single-digits, subject to reduction in certain circumstances, and subject to certain annual minimum royalty payments, and (b) a percentage, ranging from the mid-single-digits to mid-teens, of revenues from sublicensing arrangements. Additionally, if we are granted a priority review voucher by the FDA with respect to a licensed product, we will be obligated to pay to the NIH the greater of (x) $5.0 million or</w:t>
      </w:r>
    </w:p>
    <w:p>
      <w:pPr>
        <w:spacing w:after="0" w:line="1" w:lineRule="exact"/>
        <w:rPr>
          <w:sz w:val="20"/>
          <w:szCs w:val="20"/>
          <w:color w:val="auto"/>
        </w:rPr>
      </w:pPr>
    </w:p>
    <w:p>
      <w:pPr>
        <w:ind w:right="20"/>
        <w:spacing w:after="0" w:line="244" w:lineRule="auto"/>
        <w:tabs>
          <w:tab w:leader="none" w:pos="283"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percentage in the mid-single-digits of any consideration received for the sale, transfer, or lease of such priority review voucher. We are also obligated to pay to the NIH a percentage in the low-single-digits of the consideration we receive for any assignment of the NIH Agreement to a non-affiliate.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800"/>
          </w:cols>
          <w:pgMar w:left="540" w:top="750" w:right="540" w:bottom="0" w:gutter="0" w:footer="0" w:header="0"/>
          <w:type w:val="continuous"/>
        </w:sectPr>
      </w:pPr>
    </w:p>
    <w:bookmarkStart w:id="58" w:name="page59"/>
    <w:bookmarkEnd w:id="58"/>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We are obligated to use commercially reasonable efforts to exploit, and make publicly available, inventions developed by the exploitation of the licensed patent rights, including licensed products.</w:t>
      </w:r>
    </w:p>
    <w:p>
      <w:pPr>
        <w:spacing w:after="0" w:line="16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Unless earlier terminated by either party, the NIH Agreement will expire upon expiration of the last-to-expire valid claim in the licensed patent rights, which we expect to occur in 2041. The NIH may terminate the Agreement with written notice for our material breach if we fail to timely cure such breach or upon certain insolvency events involving us. In addition, the NIH may terminate or modify the NIH Agreement, at its option, if the NIH determines that such termination or modification is necessary to meet the requirements for public use specified by federal regulations issued after the effective date of the NIH Agreement, and we do not reasonably and timely satisfy these requirements. We may terminate the NIH Agreement or any licenses in any country or territory upon 60 days’ prior written notice.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Biologics Regulation</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In the United States, biological products are subject to regulation under the Federal Food, Drug, and Cosmetic Act, the Public Health Service Act, and other federal, state, local and foreign statutes and regulations. The process required by the FDA before biologics may be marketed in the United States generally involves the following:</w:t>
      </w:r>
    </w:p>
    <w:p>
      <w:pPr>
        <w:spacing w:after="0" w:line="83" w:lineRule="exact"/>
        <w:rPr>
          <w:sz w:val="20"/>
          <w:szCs w:val="20"/>
          <w:color w:val="auto"/>
        </w:rPr>
      </w:pPr>
    </w:p>
    <w:p>
      <w:pPr>
        <w:ind w:left="980" w:right="160" w:hanging="490"/>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completion of preclinical laboratory tests and animal studies performed in accordance with the FDA’s Good Laboratory Practice requirements (GLPs) and other applicable regulations;</w:t>
      </w:r>
    </w:p>
    <w:p>
      <w:pPr>
        <w:spacing w:after="0" w:line="64" w:lineRule="exact"/>
        <w:rPr>
          <w:rFonts w:ascii="Arial" w:cs="Arial" w:eastAsia="Arial" w:hAnsi="Arial"/>
          <w:sz w:val="20"/>
          <w:szCs w:val="20"/>
          <w:color w:val="231F20"/>
        </w:rPr>
      </w:pPr>
    </w:p>
    <w:p>
      <w:pPr>
        <w:ind w:left="980" w:right="200" w:hanging="490"/>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Investigational New Drug application (IND), which must become effective before clinical trials may begin;</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institutional review board (IRB), or ethics committee at each clinical site before the trial is commenced;</w:t>
      </w:r>
    </w:p>
    <w:p>
      <w:pPr>
        <w:spacing w:after="0" w:line="133" w:lineRule="exact"/>
        <w:rPr>
          <w:rFonts w:ascii="Arial" w:cs="Arial" w:eastAsia="Arial" w:hAnsi="Arial"/>
          <w:sz w:val="20"/>
          <w:szCs w:val="20"/>
          <w:color w:val="231F20"/>
        </w:rPr>
      </w:pPr>
    </w:p>
    <w:p>
      <w:pPr>
        <w:jc w:val="both"/>
        <w:ind w:left="980" w:hanging="490"/>
        <w:spacing w:after="0" w:line="258"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of adequate and well-controlled human clinical trials to satisfy the FDA’s legal standards with respect to the safety, purity, and potency of the proposed product candidate, which may include, among other things, demonstrating that the benefits of the product candidate outweigh its known risks for the intended patient population;</w:t>
      </w:r>
    </w:p>
    <w:p>
      <w:pPr>
        <w:spacing w:after="0" w:line="81"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preparation of and submission to the FDA of a biologics license application (BLA), after completion of all pivotal clinical trials;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Advisory Committee review, if applicable;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a determination by the FDA within 60 days of its receipt of a BLA to file the application for review;</w:t>
      </w:r>
    </w:p>
    <w:p>
      <w:pPr>
        <w:spacing w:after="0" w:line="133" w:lineRule="exact"/>
        <w:rPr>
          <w:rFonts w:ascii="Arial" w:cs="Arial" w:eastAsia="Arial" w:hAnsi="Arial"/>
          <w:sz w:val="20"/>
          <w:szCs w:val="20"/>
          <w:color w:val="231F20"/>
        </w:rPr>
      </w:pPr>
    </w:p>
    <w:p>
      <w:pPr>
        <w:ind w:left="980" w:right="20" w:hanging="490"/>
        <w:spacing w:after="0" w:line="247"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pre-approval inspection of the manufacturing facility or facilities at which the proposed product is processed, packed, or held to assess compliance with current Good Manufacturing Practices (cGMP), and to assure that the facilities, methods, and controls will continue to meet the FDA’s legal requirements, and, if applicable, to assess compliance with the FDA’s current Good Tissue Practice (cGTP) requirements for the use of human cellular and tissue products, and of selected clinical investigation sites to assess compliance with Good Clinical Practices (GCPs); and</w:t>
      </w:r>
    </w:p>
    <w:p>
      <w:pPr>
        <w:spacing w:after="0" w:line="93"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review and approval of the BLA to permit commercial marketing of the product for particular indications for use in the United States.</w:t>
      </w:r>
    </w:p>
    <w:p>
      <w:pPr>
        <w:spacing w:after="0" w:line="17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i w:val="1"/>
          <w:iCs w:val="1"/>
          <w:color w:val="231F20"/>
        </w:rPr>
        <w:t xml:space="preserve">in vitro </w:t>
      </w:r>
      <w:r>
        <w:rPr>
          <w:rFonts w:ascii="Times New Roman" w:cs="Times New Roman" w:eastAsia="Times New Roman" w:hAnsi="Times New Roman"/>
          <w:sz w:val="20"/>
          <w:szCs w:val="20"/>
          <w:color w:val="231F20"/>
        </w:rPr>
        <w:t>studies assessing the toxicology, pharmacokinetics, pharmacology, and pharmacodynamic characteristics of the product;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chemistry, manufacturing, and controls information; and any available human data or literature to support the use of the investigational product. An IND must become effective before human clinical trials may begin. The IND automatically becomes</w:t>
      </w:r>
    </w:p>
    <w:p>
      <w:pPr>
        <w:sectPr>
          <w:pgSz w:w="11880" w:h="15480" w:orient="portrait"/>
          <w:cols w:equalWidth="0" w:num="1">
            <w:col w:w="10740"/>
          </w:cols>
          <w:pgMar w:left="540" w:top="750" w:right="600" w:bottom="0" w:gutter="0" w:footer="0" w:header="0"/>
        </w:sect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740"/>
          </w:cols>
          <w:pgMar w:left="540" w:top="750" w:right="600" w:bottom="0" w:gutter="0" w:footer="0" w:header="0"/>
          <w:type w:val="continuous"/>
        </w:sectPr>
      </w:pPr>
    </w:p>
    <w:bookmarkStart w:id="59" w:name="page60"/>
    <w:bookmarkEnd w:id="59"/>
    <w:p>
      <w:pPr>
        <w:ind w:right="100"/>
        <w:spacing w:after="0" w:line="252" w:lineRule="auto"/>
        <w:rPr>
          <w:sz w:val="20"/>
          <w:szCs w:val="20"/>
          <w:color w:val="auto"/>
        </w:rPr>
      </w:pPr>
      <w:r>
        <w:rPr>
          <w:rFonts w:ascii="Times New Roman" w:cs="Times New Roman" w:eastAsia="Times New Roman" w:hAnsi="Times New Roman"/>
          <w:sz w:val="20"/>
          <w:szCs w:val="20"/>
          <w:color w:val="231F20"/>
        </w:rPr>
        <w:t>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In addition to the IND submission process, under the National Institutes of Health Guidelines for Research Involving Recombinant DNA Molecules (the NIH Guidelines), supervision of human gene transfer trials includes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Although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testing suggesting a significant risk to humans, and any clinically important increased incidence of a serious suspected adverse reaction compared to that listed in the protocol or investigator brochure.</w:t>
      </w:r>
    </w:p>
    <w:p>
      <w:pPr>
        <w:spacing w:after="0" w:line="20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6"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For purposes of BLA approval, human clinical trials are typically conducted in three sequential phases that may overlap or be combined:</w:t>
      </w:r>
    </w:p>
    <w:p>
      <w:pPr>
        <w:spacing w:after="0" w:line="64" w:lineRule="exact"/>
        <w:rPr>
          <w:sz w:val="20"/>
          <w:szCs w:val="20"/>
          <w:color w:val="auto"/>
        </w:rPr>
      </w:pPr>
    </w:p>
    <w:p>
      <w:pPr>
        <w:ind w:left="980" w:right="20" w:hanging="490"/>
        <w:spacing w:after="0" w:line="252"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7" w:lineRule="exact"/>
        <w:rPr>
          <w:rFonts w:ascii="Arial" w:cs="Arial" w:eastAsia="Arial" w:hAnsi="Arial"/>
          <w:sz w:val="20"/>
          <w:szCs w:val="20"/>
          <w:color w:val="231F20"/>
        </w:rPr>
      </w:pPr>
    </w:p>
    <w:p>
      <w:pPr>
        <w:ind w:left="980" w:right="20" w:hanging="490"/>
        <w:spacing w:after="0" w:line="252"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7" w:lineRule="exact"/>
        <w:rPr>
          <w:rFonts w:ascii="Arial" w:cs="Arial" w:eastAsia="Arial" w:hAnsi="Arial"/>
          <w:sz w:val="20"/>
          <w:szCs w:val="20"/>
          <w:color w:val="231F20"/>
        </w:rPr>
      </w:pPr>
    </w:p>
    <w:p>
      <w:pPr>
        <w:ind w:left="980" w:right="260" w:hanging="490"/>
        <w:spacing w:after="0" w:line="252"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3"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In some cases, the FDA may require, or companies may voluntarily pursue, additional clinical trials after a product is approved to gain more information about the product. These so-called Phase 4 studies may also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sponsors must develop methods for testing the identity, strength, quality, and purity of the</w:t>
      </w:r>
    </w:p>
    <w:p>
      <w:pPr>
        <w:sectPr>
          <w:pgSz w:w="11880" w:h="15480" w:orient="portrait"/>
          <w:cols w:equalWidth="0" w:num="1">
            <w:col w:w="10800"/>
          </w:cols>
          <w:pgMar w:left="540" w:top="750" w:right="54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800"/>
          </w:cols>
          <w:pgMar w:left="540" w:top="750" w:right="540" w:bottom="0" w:gutter="0" w:footer="0" w:header="0"/>
          <w:type w:val="continuous"/>
        </w:sectPr>
      </w:pPr>
    </w:p>
    <w:bookmarkStart w:id="60" w:name="page61"/>
    <w:bookmarkEnd w:id="60"/>
    <w:p>
      <w:pPr>
        <w:ind w:right="40"/>
        <w:spacing w:after="0" w:line="277" w:lineRule="auto"/>
        <w:rPr>
          <w:sz w:val="20"/>
          <w:szCs w:val="20"/>
          <w:color w:val="auto"/>
        </w:rPr>
      </w:pPr>
      <w:r>
        <w:rPr>
          <w:rFonts w:ascii="Times New Roman" w:cs="Times New Roman" w:eastAsia="Times New Roman" w:hAnsi="Times New Roman"/>
          <w:sz w:val="20"/>
          <w:szCs w:val="20"/>
          <w:color w:val="231F20"/>
        </w:rPr>
        <w:t>final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BLA Submission and Review by the FDA</w:t>
      </w:r>
    </w:p>
    <w:p>
      <w:pPr>
        <w:spacing w:after="0" w:line="11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application user fee to the FDA, unless a waiver or exemption applies.</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for a product candidate to determine, among other things, whether the information provided satisfies the FDA’s legal standards with respect to the safety, purity, and potency of the proposed product candidate, which may include, among other things, demonstrating that the benefits of the product candidate outweigh its known risks for the intended patient population. The FDA also reviews a BLA to determine whether the facility in which it is manufactured, processed, packed, or held meets standards designed to assure that the product candidate will continue to meet the FDA’s legal requirements. The FDA may also convene an advisory committee to provide clinical insight on application review questions. The FDA is not bound by the recommendations of an advisory committee, but it considers such recommendations carefully when making decisions.</w:t>
      </w:r>
    </w:p>
    <w:p>
      <w:pPr>
        <w:spacing w:after="0" w:line="203"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For a product candidate that is also a human cellular or tissue product, the FDA also will not approve the application if the manufacturer is not in compliance with cGTPs.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compliance with GCP.</w:t>
      </w:r>
    </w:p>
    <w:p>
      <w:pPr>
        <w:spacing w:after="0" w:line="20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After the FDA evaluates a BLA and conducts any inspections it deems necessary,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The FDA’s decision to release in “real- time” newly issued CRLs associated with withdrawn or abandoned applications, if applicable to any of our product candidates, could materially impact our business and competitive advantage.</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w:t>
      </w:r>
    </w:p>
    <w:p>
      <w:pPr>
        <w:sectPr>
          <w:pgSz w:w="11880" w:h="15480" w:orient="portrait"/>
          <w:cols w:equalWidth="0" w:num="1">
            <w:col w:w="10760"/>
          </w:cols>
          <w:pgMar w:left="540" w:top="750" w:right="580" w:bottom="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760"/>
          </w:cols>
          <w:pgMar w:left="540" w:top="750" w:right="580" w:bottom="0" w:gutter="0" w:footer="0" w:header="0"/>
          <w:type w:val="continuous"/>
        </w:sectPr>
      </w:pPr>
    </w:p>
    <w:bookmarkStart w:id="61" w:name="page62"/>
    <w:bookmarkEnd w:id="61"/>
    <w:p>
      <w:pPr>
        <w:ind w:right="280"/>
        <w:spacing w:after="0" w:line="258" w:lineRule="auto"/>
        <w:rPr>
          <w:sz w:val="20"/>
          <w:szCs w:val="20"/>
          <w:color w:val="auto"/>
        </w:rPr>
      </w:pPr>
      <w:r>
        <w:rPr>
          <w:rFonts w:ascii="Times New Roman" w:cs="Times New Roman" w:eastAsia="Times New Roman" w:hAnsi="Times New Roman"/>
          <w:sz w:val="20"/>
          <w:szCs w:val="20"/>
          <w:color w:val="231F20"/>
        </w:rPr>
        <w:t>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8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 addition, the Pediatric Research Equity Act (PREA) requires a sponsor to conduct pediatric clinical trials for most drugs for a new active ingredient, new indication, new dosage form, new dosing regimen, or new route of administration. Under PREA, original BLAs and supplements must contain a pediatric assessment unless the sponsor has received a deferral or waiver. In general, the required assessment must evaluate the safety and effectiveness of the product for the claimed indications in all relevant pediatric subpopulations and support dosing and administration for each pediatric subpopulation for which it is determined that there is substantial evidence that the product provides benefits that outweigh its known and potential risks.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efficacy data need to be collected before the pediatric clinical trials begin. The FDA must send a non-compliance letter to any sponsor that fails to submit the required assessment, keep a deferral current, or submit a request for approval of a pediatric formulation.</w:t>
      </w:r>
    </w:p>
    <w:p>
      <w:pPr>
        <w:spacing w:after="0" w:line="3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Expedited Development and Review Programs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FDA offers a number of expedited development and review programs for qualifying product candidates, including priority review, fast track, breakthrough therapy, accelerated approval, and national priority voucher programs, although the FDA’s policies and implementation of these and similar programs are subject to change.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6"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750" w:right="540" w:bottom="0" w:gutter="0" w:footer="0" w:header="0"/>
          <w:type w:val="continuous"/>
        </w:sectPr>
      </w:pPr>
    </w:p>
    <w:bookmarkStart w:id="62" w:name="page63"/>
    <w:bookmarkEnd w:id="62"/>
    <w:p>
      <w:pPr>
        <w:ind w:firstLine="490"/>
        <w:spacing w:after="0" w:line="243" w:lineRule="auto"/>
        <w:rPr>
          <w:sz w:val="20"/>
          <w:szCs w:val="20"/>
          <w:color w:val="auto"/>
        </w:rPr>
      </w:pPr>
      <w:r>
        <w:rPr>
          <w:rFonts w:ascii="Times New Roman" w:cs="Times New Roman" w:eastAsia="Times New Roman" w:hAnsi="Times New Roman"/>
          <w:sz w:val="20"/>
          <w:szCs w:val="20"/>
          <w:color w:val="231F20"/>
        </w:rPr>
        <w:t>In 2017, the FDA established the regenerative medicine advanced therapy (RMAT) designation as part of its implementation of the 21st Century Cures Act. The RMAT designation program is intended to fulfill the 21st Century Cures Act requirement that the FDA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 (iii) 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20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Orphan Drug Designation and Exclusivity</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a product that has orphan drug designation subsequently receives the first FDA approval for a particular active ingredient for the disease or condition for which it has such designation, the product is entitled to orphan drug exclusivity, which means that the FDA may not approve any other applications, including a full BLA, to market the same biologic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20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Recently, the court in </w:t>
      </w:r>
      <w:r>
        <w:rPr>
          <w:rFonts w:ascii="Times New Roman" w:cs="Times New Roman" w:eastAsia="Times New Roman" w:hAnsi="Times New Roman"/>
          <w:sz w:val="20"/>
          <w:szCs w:val="20"/>
          <w:i w:val="1"/>
          <w:iCs w:val="1"/>
          <w:color w:val="231F20"/>
        </w:rPr>
        <w:t>Catalyst Pharms., Inc. v. Becerra</w:t>
      </w:r>
      <w:r>
        <w:rPr>
          <w:rFonts w:ascii="Times New Roman" w:cs="Times New Roman" w:eastAsia="Times New Roman" w:hAnsi="Times New Roman"/>
          <w:sz w:val="20"/>
          <w:szCs w:val="20"/>
          <w:color w:val="231F20"/>
        </w:rPr>
        <w:t>, 14 F.4th 1299 (11th Cir. 2021)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held that orphan drug exclusivity blocks approval of another company’s application for the same drug for the entire disease or condition for which the drug is granted orphan drug designation, regardless of whether the drug was approved only for a narrower use or indication. However, in January 2023, the FDA published a notice in the Federal Register in response to the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decision to clarify that while the agency complies with the court’s order in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order – that is, the agency will continue tying the scope of orphan drug exclusivity to the uses or indications for which a drug is approved, which permits other sponsors to obtain approval of a drug for new uses or indications within the same orphan-designated disease or condition that have not yet been approved. It is unclear how future litigation, legislation, agency decisions, and administrative actions will impact the scope of the orphan drug exclusivity.</w:t>
      </w:r>
    </w:p>
    <w:p>
      <w:pPr>
        <w:spacing w:after="0" w:line="213"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Further, in June 2024, the U.S. Supreme Court overruled the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doctrine, which gave deference to regulatory agencies’ statutory interpretations of ambiguous federal laws in litigation against these agencies, including the FDA. This landmark Supreme Court decision may invite more companies or other stakeholders to bring lawsuits against the FDA to challenge longstanding decisions and policies, which could lead to uncertainties in the industry. Changes in the leadership of the FDA and other federal agencies under the new presidential administration may lead to new policies and legislative, regulatory, and other governmental changes that may impact our clinical development plans.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800"/>
          </w:cols>
          <w:pgMar w:left="540" w:top="750" w:right="540" w:bottom="0"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20"/>
          <w:szCs w:val="20"/>
          <w:i w:val="1"/>
          <w:iCs w:val="1"/>
          <w:color w:val="231F20"/>
        </w:rPr>
        <w:t>FDA Regulation of Companion Diagnostics</w:t>
      </w:r>
    </w:p>
    <w:p>
      <w:pPr>
        <w:spacing w:after="0" w:line="11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We or our collaborators may develop an in vitro diagnostic (IVD) to identify appropriate patient populations for investigation or use of our product candidates. These diagnostics, often referred to as companion diagnostics, are regulated as medical devices. In the United States, the Federal Food, Drug, and Cosmetic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(PMA). The FDA classifies medical devices as Class I, Class II, or Class III devices according to their level of risk, with Class III devices being those with the highest risk. This classification of medical devices affects whether the device will require 510(k) clearance or PMA prior to marketing. In January 2024, the FDA announced its plans to reclassify certain high-risk in vitro diagnostics, including companion diagnostics, as Class II devices. As such, to the extent we or our collaborators develop a companion diagnostic, it may be regulated as a Class II or Class III medical device, depending on its intended use and technical characteristics, among other factors.</w:t>
      </w:r>
    </w:p>
    <w:p>
      <w:pPr>
        <w:spacing w:after="0" w:line="21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If use of companion diagnostic is deemed essential to the safe and effective use of a drug product, then the FDA generally will require approval or clearance of the diagnostic contemporaneously with the approval of the therapeutic product. On August 6, 2014, the FDA issued final guidance titled "In Vitro Companion Diagnostic Devices” addressing the development and approval process for such devices. According to the guidance, for novel product candidates, a companion diagnostic device and its corresponding drug candidate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510(k) Clearance Process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it may take longer if, among other reasons, the FDA requests additional information, which can significantly prolong the review process. In some cases, the FDA may require clinical data to support substantial equivalence. Notwithstanding compliance with all of the 510(k) clearance requirements, such clearance is never assured.</w:t>
      </w:r>
    </w:p>
    <w:p>
      <w:pPr>
        <w:spacing w:after="0" w:line="20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review and approval process.</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De Novo Classification Process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w:t>
      </w:r>
    </w:p>
    <w:p>
      <w:pPr>
        <w:sectPr>
          <w:pgSz w:w="11880" w:h="15480" w:orient="portrait"/>
          <w:cols w:equalWidth="0" w:num="1">
            <w:col w:w="10780"/>
          </w:cols>
          <w:pgMar w:left="540" w:top="75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780"/>
          </w:cols>
          <w:pgMar w:left="540" w:top="752" w:right="560" w:bottom="0" w:gutter="0" w:footer="0" w:header="0"/>
          <w:type w:val="continuous"/>
        </w:sectPr>
      </w:pPr>
    </w:p>
    <w:bookmarkStart w:id="64" w:name="page65"/>
    <w:bookmarkEnd w:id="64"/>
    <w:p>
      <w:pPr>
        <w:ind w:right="240"/>
        <w:spacing w:after="0" w:line="277" w:lineRule="auto"/>
        <w:rPr>
          <w:sz w:val="20"/>
          <w:szCs w:val="20"/>
          <w:color w:val="auto"/>
        </w:rPr>
      </w:pPr>
      <w:r>
        <w:rPr>
          <w:rFonts w:ascii="Times New Roman" w:cs="Times New Roman" w:eastAsia="Times New Roman" w:hAnsi="Times New Roman"/>
          <w:sz w:val="20"/>
          <w:szCs w:val="20"/>
          <w:color w:val="231F20"/>
        </w:rPr>
        <w:t>be appropriate for 510(k) premarket notification or determines that the device is not low- to moderate-risk and requires PMA or that general controls would be inadequate to control the risks and special controls cannot be developed.</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PMA Process</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231F20"/>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Management System Regulation (QMSR), which went into effect in February 2026, replaces the former Quality System Regulation, imposes testing, control, documentation, and other quality assurance requirements, and incorporates by reference the quality management system requirements of ISO 13485:2016.</w:t>
      </w:r>
    </w:p>
    <w:p>
      <w:pPr>
        <w:spacing w:after="0" w:line="191"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Approval of a PMA submission is not guaranteed, and the FDA may ultimately respond to a PMA submission with a not approvable determination based on deficiencies in the application and require additional clinical trial or other data that may be expensive and time-consuming to generate and that could substantially delay approval. If the FDA’s evaluation of the PMA submission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submission or manufacturing facilities is not favorable, the FDA will deny approval of the PMA submission or issue a not approvable letter. A not approvable letter will outline the deficiencies in the application and, where practical, will identify what is necessary to make the PMA approvable. The FDA may also determine that additional clinical trials are necessary, in which case approval of the PMA submission may be delayed for several months or years while the trials are conducted and then the data submitted in an amendment to the submission. If the FDA concludes that the applicable criteria have been met, the FDA will issue a PMA for the approved indications, which may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 PMA may be withdrawn by the FDA if compliance with post-approval requirements, conditions of approval, or other regulatory standards are not maintained or problems are identified following initial marketing.</w:t>
      </w:r>
    </w:p>
    <w:p>
      <w:pPr>
        <w:spacing w:after="0" w:line="212" w:lineRule="exact"/>
        <w:rPr>
          <w:sz w:val="20"/>
          <w:szCs w:val="20"/>
          <w:color w:val="auto"/>
        </w:rPr>
      </w:pPr>
    </w:p>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Obtaining FDA marketing authorization, De Novo down-classification, or approval for medical devices is expensive and uncertain, may take several years, and generally requires significant scientific and clinical data.</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Post-Approval Requirements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20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980" w:right="400" w:hanging="490"/>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untitled letters;</w:t>
      </w:r>
    </w:p>
    <w:p>
      <w:pPr>
        <w:sectPr>
          <w:pgSz w:w="11880" w:h="15480" w:orient="portrait"/>
          <w:cols w:equalWidth="0" w:num="1">
            <w:col w:w="10800"/>
          </w:cols>
          <w:pgMar w:left="540" w:top="750" w:right="540" w:bottom="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800"/>
          </w:cols>
          <w:pgMar w:left="540" w:top="750" w:right="540" w:bottom="0" w:gutter="0" w:footer="0" w:header="0"/>
          <w:type w:val="continuous"/>
        </w:sectPr>
      </w:pPr>
    </w:p>
    <w:bookmarkStart w:id="65" w:name="page66"/>
    <w:bookmarkEnd w:id="65"/>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holds on clinical studies;</w:t>
      </w:r>
    </w:p>
    <w:p>
      <w:pPr>
        <w:spacing w:after="0" w:line="133"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 or suspension or revocation of product license approvals;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 or refusal to permit the import or export of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consent decrees, corporate integrity agreements, debarment or exclusion from federal healthcare programs;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mandated modification of promotional materials and labeling and the issuance of corrective information;</w:t>
      </w:r>
    </w:p>
    <w:p>
      <w:pPr>
        <w:spacing w:after="0" w:line="133" w:lineRule="exact"/>
        <w:rPr>
          <w:rFonts w:ascii="Arial" w:cs="Arial" w:eastAsia="Arial" w:hAnsi="Arial"/>
          <w:sz w:val="20"/>
          <w:szCs w:val="20"/>
          <w:color w:val="231F20"/>
        </w:rPr>
      </w:pPr>
    </w:p>
    <w:p>
      <w:pPr>
        <w:ind w:left="980" w:right="660" w:hanging="490"/>
        <w:spacing w:after="0" w:line="276"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issuance of safety alerts, Dear Healthcare Provider letters, press releases and other communications containing warnings or other safety information about the product; or</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23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Biosimilars and Reference Product Exclusivity</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Affordable Care Act, signed into law in 2010, includes a subtitle called the Biologics Price Competition and Innovation Act (BPCIA), which created an abbreviated approval pathway for biological products that are biosimilar to or interchangeable with an FDA-licensed reference biological product.</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that the product meets the FDA’s legal standards with respect to safety, purity, and potency, which may include, among other things, demonstrating that the benefits of the product outweigh its known risks.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A biological product can also obtain pediatric market exclusivity in the United States. Pediatric exclusivity, if granted, adds six months to existing exclusivity periods and patent terms. This six- 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Other Healthcare Laws</w:t>
      </w:r>
    </w:p>
    <w:p>
      <w:pPr>
        <w:spacing w:after="0" w:line="11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Pharmaceutical companies are subject to additional healthcare regulation and enforcement by the federal government and by authorities in the states and foreign jurisdictions in which they conduct their business, which may constrain the financial arrangements</w:t>
      </w:r>
    </w:p>
    <w:p>
      <w:pPr>
        <w:sectPr>
          <w:pgSz w:w="11880" w:h="15480" w:orient="portrait"/>
          <w:cols w:equalWidth="0" w:num="1">
            <w:col w:w="10780"/>
          </w:cols>
          <w:pgMar w:left="540" w:top="764" w:right="560" w:bottom="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780"/>
          </w:cols>
          <w:pgMar w:left="540" w:top="764" w:right="560" w:bottom="0" w:gutter="0" w:footer="0" w:header="0"/>
          <w:type w:val="continuous"/>
        </w:sectPr>
      </w:pPr>
    </w:p>
    <w:bookmarkStart w:id="66" w:name="page67"/>
    <w:bookmarkEnd w:id="66"/>
    <w:p>
      <w:pPr>
        <w:ind w:right="100"/>
        <w:spacing w:after="0" w:line="246" w:lineRule="auto"/>
        <w:rPr>
          <w:sz w:val="20"/>
          <w:szCs w:val="20"/>
          <w:color w:val="auto"/>
        </w:rPr>
      </w:pPr>
      <w:r>
        <w:rPr>
          <w:rFonts w:ascii="Times New Roman" w:cs="Times New Roman" w:eastAsia="Times New Roman" w:hAnsi="Times New Roman"/>
          <w:sz w:val="20"/>
          <w:szCs w:val="20"/>
          <w:color w:val="231F20"/>
        </w:rPr>
        <w:t>and relationships through which we conduct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 If our significant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Coverage and Reimbursement</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 party payor not to cover a product could reduce physician usage and patient demand for the product and also have a material adverse effect on sales.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Healthcare Reform</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United States government and other governments have shown significant interest in pursuing health care reform. Any government-adopted reform measures could adversely impact the pricing of health care products and services in the United States or internationally and the amount of reimbursement available from governmental agencies or other third-party payors. For example, the Patient Protection and Affordable Care Act (the ACA) which was enacted in the United States in 2010, substantially changed the way healthcare is financed by both governmental and private insurers, and significantly affected the pharmaceutical industry. The ACA contains a number of provisions, including those governing enrollment in federal healthcare programs, reimbursement adjustments and changes to fraud and abuse laws. For example, the ACA:</w:t>
      </w:r>
    </w:p>
    <w:p>
      <w:pPr>
        <w:spacing w:after="0" w:line="94" w:lineRule="exact"/>
        <w:rPr>
          <w:sz w:val="20"/>
          <w:szCs w:val="20"/>
          <w:color w:val="auto"/>
        </w:rPr>
      </w:pPr>
    </w:p>
    <w:p>
      <w:pPr>
        <w:ind w:left="980" w:right="60" w:hanging="490"/>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the minimum level of Medicaid rebates payable by manufacturers of brand name drugs from 15.1% to 23.1% of the average manufacturer price;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expanded the manufacturer Medicaid rebate obligation to drugs paid by Medicaid managed care organizations;</w:t>
      </w:r>
    </w:p>
    <w:p>
      <w:pPr>
        <w:spacing w:after="0" w:line="133"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and</w:t>
      </w:r>
    </w:p>
    <w:p>
      <w:pPr>
        <w:spacing w:after="0" w:line="81"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imposed a non-deductible annual fee on pharmaceutical manufacturers or importers who sell “branded prescription drugs” to specified federal government programs.</w:t>
      </w:r>
    </w:p>
    <w:p>
      <w:pPr>
        <w:spacing w:after="0" w:line="17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 Other legislative changes have been proposed and adopted since the ACA was enacted, including reductions of Medicare payments to providers through 2032. The American Rescue Plan Act of 2021 eliminated the statutory Medicaid drug rebate cap. Elimination of this cap may require pharmaceutical manufacturers to pay more in rebates than they receive from the sale of products, which could have a material impact on our business.</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beginning in 2026, that manufacturers of certain drugs to engage in price negotiations with Medicare, with prices that can be negotiated subject to a cap; imposes rebates, first due in 2023, under Medicare Part B and Medicare Part D to penalize price increases that outpace inflation; and, beginning in 2025, replaces the Part D coverage gap discount program with a new discounting program. The IRA permits the Secretary of the Department of Health and Human Services to implement many of these provisions through guidance, as opposed to regulation, for the initial years.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ten high-cost Medicare Part D drugs in 2023, negotiations began in 2024, and the negotiated maximum fair price for each drug has been</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800"/>
          </w:cols>
          <w:pgMar w:left="540" w:top="750" w:right="540" w:bottom="0" w:gutter="0" w:footer="0" w:header="0"/>
          <w:type w:val="continuous"/>
        </w:sectPr>
      </w:pPr>
    </w:p>
    <w:bookmarkStart w:id="67" w:name="page68"/>
    <w:bookmarkEnd w:id="67"/>
    <w:p>
      <w:pPr>
        <w:ind w:right="40"/>
        <w:spacing w:after="0" w:line="242" w:lineRule="auto"/>
        <w:rPr>
          <w:sz w:val="20"/>
          <w:szCs w:val="20"/>
          <w:color w:val="auto"/>
        </w:rPr>
      </w:pPr>
      <w:r>
        <w:rPr>
          <w:rFonts w:ascii="Times New Roman" w:cs="Times New Roman" w:eastAsia="Times New Roman" w:hAnsi="Times New Roman"/>
          <w:sz w:val="20"/>
          <w:szCs w:val="20"/>
          <w:color w:val="231F20"/>
        </w:rPr>
        <w:t>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United States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could have a material adverse effect on our industry, ability to set adequate pricing for new drugs to recover research and development costs, ability to attract potential investors and potential buyers in the future, or the pricing of our approved product in the United States and in foreign countries. The impact of these and any future healthcare measures, executive orders,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Moreover, there has been recent heightened governmental scrutiny over the manner in which manufacturers set prices for their marketed products, which is likely to continue.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pressures.</w:t>
      </w:r>
    </w:p>
    <w:p>
      <w:pPr>
        <w:spacing w:after="0" w:line="192"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Similar political, economic, and regulatory developments are occurring in the European Union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20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On December 13, 2021, Regulation 2021/2282 on Health Technology Assessment (HTA) amending Directive 2011/24/EU (the Regulation), was adopted. Although the Regulation entered into force in January 2022, from January 31, 2025, or the end of the transition period, any trials approved under the Clinical Trials Directive that continue running must comply with the Regulation, and their sponsors must enter information regarding the trials in the Clinical Trials Information System, which provides a single-entry point for sponsors and regulators of clinical trials for the submission and assessment of clinical trial data.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800"/>
          </w:cols>
          <w:pgMar w:left="540" w:top="750" w:right="540" w:bottom="0" w:gutter="0" w:footer="0" w:header="0"/>
          <w:type w:val="continuous"/>
        </w:sectPr>
      </w:pPr>
    </w:p>
    <w:bookmarkStart w:id="68" w:name="page69"/>
    <w:bookmarkEnd w:id="68"/>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 candidates once approved or additional pricing pressures.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 Resources</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we had 142 employees, 104 of whom were primarily engaged in research and development activities. A total of 83 employees have an advanced degree. None of our employees are represented by a labor union or party to a collective bargaining agreement. We consider our relationship with our employees to be good.</w:t>
      </w:r>
    </w:p>
    <w:p>
      <w:pPr>
        <w:spacing w:after="0" w:line="18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Our human capital resources objectives include, as applicable, identifying, recruiting, retaining, incentivizing, and integrating our existing and additional employees. The principal purposes of our equity incentive and bonus plans are to attract, retain, and motivate selected employees, consultants, and directors through the granting of stock-based compensation awards and, with respect to our employees, cash-based performance bonus awards.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Corporate Information</w:t>
      </w:r>
    </w:p>
    <w:p>
      <w:pPr>
        <w:spacing w:after="0" w:line="124"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We were founded in July 2018 as a Delaware corporation. Our principal executive offices are located at 188 East Blaine Street, Suite 350, Seattle, Washington 98102, and our telephone number is (206) 701-7914. Our website address is </w:t>
      </w:r>
      <w:r>
        <w:rPr>
          <w:rFonts w:ascii="Times New Roman" w:cs="Times New Roman" w:eastAsia="Times New Roman" w:hAnsi="Times New Roman"/>
          <w:sz w:val="20"/>
          <w:szCs w:val="20"/>
          <w:u w:val="single" w:color="auto"/>
          <w:color w:val="231F20"/>
        </w:rPr>
        <w:t>www.sana.com</w:t>
      </w:r>
      <w:r>
        <w:rPr>
          <w:rFonts w:ascii="Times New Roman" w:cs="Times New Roman" w:eastAsia="Times New Roman" w:hAnsi="Times New Roman"/>
          <w:sz w:val="20"/>
          <w:szCs w:val="20"/>
          <w:color w:val="231F20"/>
        </w:rPr>
        <w:t xml:space="preserve">. The information on, or that can be accessed through, our website is not part of this Annual Report, and is not incorporated by reference herein. We have included our website address as an inactive textual reference only. We may use our website as a means of disclosing material non-public information and for complying with our disclosure obligations under Regulation Fair Disclosure promulgated by the SEC. These disclosures will be included on our website under the “Investors” section. We also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w:t>
      </w:r>
      <w:r>
        <w:rPr>
          <w:rFonts w:ascii="Times New Roman" w:cs="Times New Roman" w:eastAsia="Times New Roman" w:hAnsi="Times New Roman"/>
          <w:sz w:val="20"/>
          <w:szCs w:val="20"/>
          <w:u w:val="single" w:color="auto"/>
          <w:color w:val="231F20"/>
        </w:rPr>
        <w:t>www.sec.gov</w:t>
      </w:r>
      <w:r>
        <w:rPr>
          <w:rFonts w:ascii="Times New Roman" w:cs="Times New Roman" w:eastAsia="Times New Roman" w:hAnsi="Times New Roman"/>
          <w:sz w:val="20"/>
          <w:szCs w:val="20"/>
          <w:color w:val="231F20"/>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17" w:lineRule="exact"/>
        <w:rPr>
          <w:sz w:val="20"/>
          <w:szCs w:val="20"/>
          <w:color w:val="auto"/>
        </w:rPr>
      </w:pPr>
    </w:p>
    <w:p>
      <w:pPr>
        <w:ind w:right="180" w:firstLine="490"/>
        <w:spacing w:after="0" w:line="236" w:lineRule="auto"/>
        <w:rPr>
          <w:sz w:val="20"/>
          <w:szCs w:val="20"/>
          <w:color w:val="auto"/>
        </w:rPr>
      </w:pPr>
      <w:r>
        <w:rPr>
          <w:rFonts w:ascii="Times New Roman" w:cs="Times New Roman" w:eastAsia="Times New Roman" w:hAnsi="Times New Roman"/>
          <w:sz w:val="20"/>
          <w:szCs w:val="20"/>
          <w:i w:val="1"/>
          <w:iCs w:val="1"/>
          <w:color w:val="231F20"/>
        </w:rPr>
        <w:t>Investing in shares of our common stock involves a high degree of risk. You should carefully consider the following risks and uncertainties, together with all of the other information contained in this Annual Report, including our financial statements and related notes included elsewhere in this Annual Report, before making an investment decision. The risks described below are not the only ones we face. Many of the following risks and uncertainties are, and will continue to be, exacerbated by any worsening of the global geo-political,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a case, the trading price of shares of our common stock could decline, and you may lose all or part of your investment.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Industry</w:t>
      </w:r>
    </w:p>
    <w:p>
      <w:pPr>
        <w:spacing w:after="0" w:line="1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b w:val="1"/>
          <w:bCs w:val="1"/>
          <w:i w:val="1"/>
          <w:iCs w:val="1"/>
          <w:color w:val="231F20"/>
        </w:rPr>
        <w:t>Our ex vivo and in vivo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p>
    <w:p>
      <w:pPr>
        <w:spacing w:after="0" w:line="79"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 xml:space="preserve">A key element of our strategy is to identify and develop a pipeline of product candidates using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and advance those product candidates through clinical development for the treatment of various different diseases. The scientific research that forms the basis of our efforts to develop product candidates with our platforms is still ongoing. We are not aware of any FDA-approved therapeutics that are cell products derived from pluripotent stem cells (PSCs) or that utilize our fusogen technology. Further, the scientific evidence that supports the feasibility of developing therapeutic treatments based on our platforms is preliminary, limited, and remains ongoing. We are therefore exposed to a number of unforeseen risks, and it is difficult to predict the types of challenges and risks that we may encounter during development of our product candidates.</w:t>
      </w:r>
    </w:p>
    <w:p>
      <w:pPr>
        <w:spacing w:after="0" w:line="203"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Preclinical and clinical testing of product candidates is inherently unpredictable and may lead to unexpected results, in particular when such product candidates are based on novel technologies. For example, we have not tested our cell engineering platforms on all cell types or in all microenvironments, and results from one cell type or microenvironment may not translate into other cell types or</w:t>
      </w:r>
    </w:p>
    <w:p>
      <w:pPr>
        <w:sectPr>
          <w:pgSz w:w="11880" w:h="15480" w:orient="portrait"/>
          <w:cols w:equalWidth="0" w:num="1">
            <w:col w:w="10800"/>
          </w:cols>
          <w:pgMar w:left="540" w:top="750" w:right="54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750" w:right="540" w:bottom="0" w:gutter="0" w:footer="0" w:header="0"/>
          <w:type w:val="continuous"/>
        </w:sectPr>
      </w:pPr>
    </w:p>
    <w:bookmarkStart w:id="69" w:name="page70"/>
    <w:bookmarkEnd w:id="69"/>
    <w:p>
      <w:pPr>
        <w:spacing w:after="0" w:line="242" w:lineRule="auto"/>
        <w:rPr>
          <w:sz w:val="20"/>
          <w:szCs w:val="20"/>
          <w:color w:val="auto"/>
        </w:rPr>
      </w:pPr>
      <w:r>
        <w:rPr>
          <w:rFonts w:ascii="Times New Roman" w:cs="Times New Roman" w:eastAsia="Times New Roman" w:hAnsi="Times New Roman"/>
          <w:sz w:val="20"/>
          <w:szCs w:val="20"/>
          <w:color w:val="231F20"/>
        </w:rPr>
        <w:t>microenvironments. In addition, our current gene editing approaches rely on novel gene editing reagents that may have unanticipated or undesirable effects or prove to be less effective than we expect. Also, we are in the early stages of testing product candidates developed using our cell engineering platforms in humans, and most of our current data are limited to animal models and preclinical cell lines and assays, which may not accurately predict the safety and efficacy of our product candidates in humans. Additionally, we and third parties may have limited preclinical and clinical data, and a more limited understanding generally, with respect to certain indications, such as autoimmune diseases, and we cannot predict the extent to which the safety and efficacy of a product candidate may vary across indications. We may encounter significant challenges creating appropriate models and assays for evaluating the safety and purity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In addition, we may use manufacturing reagents and materials across various programs and initiatives. Certain reagents and materials may be novel and have unknown or unanticipated effects, including with respect to a product candidate’s safety, efficacy, or manufacturability. Any unanticipated or adverse effects related or attributed to such reagents or materials could affect all the programs and initiatives in which they are used, and result in delays and harm our ability to timely and successfully progress our product candidates through preclinical and clinical development.</w:t>
      </w:r>
    </w:p>
    <w:p>
      <w:pPr>
        <w:spacing w:after="0" w:line="206"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231F20"/>
        </w:rPr>
        <w:t>We may develop program plans and timelines for certain product candidates based on our experience with such product candidates in different indications or with other product candidates that incorporate or were developed with the same technologies based on our expectation that such product candidates will perform and act similarly. However, our product candidates may reveal unexpected, important differences, including with respect to safety or efficacy, when developed in different indications or as compared to such other product candidates, including differences that may require changes to the manufacturing process or clinical development plan that require additional time and resources beyond what we initially anticipated. Any such occurrence could require us to adjust or alter our development plans, which could delay, harm, or prevent our ability to develop and commercialize such product candidates.</w:t>
      </w:r>
    </w:p>
    <w:p>
      <w:pPr>
        <w:spacing w:after="0" w:line="196"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231F20"/>
        </w:rPr>
        <w:t>In addition, product candidates developed with our hypoimmune and fusogen technologies have potential safety risks, including those related to genotoxicity associated with the delivery of genome-modifying payloads. For example, DNA sequences that randomly integrate into a cell’s DNA may increase the risk for or cause certain cancers. Additionally, gene editing approaches may edit the genome at sites other than the intended DNA target or cause DNA rearrangements, each of which may have oncogenic or other adverse effects. PSC-derived cell products may have potential safety risks related to genomic and epigenomic variations that have occurred or may occur during the manufacturing process. We cannot always predict the types and potential impact of these genomic changes, including whether certain changes are or may eventually be harmful. Accordingly, it may be difficult for us to conduct the level of testing and assay development necessary to ensure that our PSC-derived cell product candidates have an acceptable safety profile when used in humans. These risks related to genetic variation are also relevant to any product candidates we may develop using donor-derived cells. Additionally, our stem cell-based product candidates have potential safety risks that may result from cells that are undifferentiated or have not been completely differentiated to the desired phenotype and lead to oncogenic transformations or other adverse effects. As a result, it is possible that safety events or concerns could negatively affect the development of our product candidates, as described elsewhere in these Risk Factors.</w:t>
      </w:r>
    </w:p>
    <w:p>
      <w:pPr>
        <w:spacing w:after="0" w:line="195"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experience with similar therapeutics or delivery methods, the regulatory pathway with the FDA and comparable foreign regulatory authorities may be more complex, time-consuming, and unpredictable relative to more well-known therapeutics. For example, even if we obtain human data to support continued evaluation and approval of our product candidates, the FDA or comparable foreign regulatory authorities may lack experience in evaluating the safety and efficacy of therapeutics similar to our product candidates or may scrutinize such data more closely than data generated from more established types of biological products. In addition, given that there are no approved PSC-derived cell therapy products on the market, the FDA and comparable foreign regulatory authorities have not established consistent standards by which to evaluate the safety of such products, and any such standards that they do establish may subsequently change. Moreover, the FDA remains focused on potential safety issues associated with gene and cell therapy products, and as the number of new gene and cell therapy product candidates submitted for FDA review has increased in recent years, the number of clinical holds imposed by the FDA has also increased. For example, the FDA has placed clinical holds on certain product candidates pending further evaluation of genomic abnormalities detected in as few as a single patient following administration of such product candidates. We cannot be certain that the FDA or comparable foreign regulatory authorities will determine that the potential safety risks associated with our product candidates outweigh the potential therapeutic benefits in each indication for which we develop our products, and that they will allow us to commence clinical trials of such product candidates in a timely manner, or at all, or to continue such clinical trials in accordance with our timelines or at all after they have commenced. If we become subject to a clinical hold with respect to any of our product candidates due to a potential safety issue, we cannot guarantee that we will be able to provide the applicable regulatory authority with sufficient data or other evidence regarding the safety profile of such product candidate such that we will be able to commence or resume clinical development of such product candidates in a timely manner or at all. Any such event could delay clinical development of such product candidate, including in other indications, or our other product candidates, increase our expected development costs, increase the length of the regulatory review process, and delay or prevent commercialization of our product candidates. In addition, the evaluation process for our product candidates will take time and resources and may require independent third-party analyses, and our product candidates may ultimately not be accepted or approved</w:t>
      </w:r>
    </w:p>
    <w:p>
      <w:pPr>
        <w:sectPr>
          <w:pgSz w:w="11880" w:h="15480" w:orient="portrait"/>
          <w:cols w:equalWidth="0" w:num="1">
            <w:col w:w="10800"/>
          </w:cols>
          <w:pgMar w:left="540" w:top="750" w:right="540" w:bottom="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800"/>
          </w:cols>
          <w:pgMar w:left="540" w:top="750" w:right="540" w:bottom="0" w:gutter="0" w:footer="0" w:header="0"/>
          <w:type w:val="continuous"/>
        </w:sectPr>
      </w:pPr>
    </w:p>
    <w:bookmarkStart w:id="70" w:name="page71"/>
    <w:bookmarkEnd w:id="70"/>
    <w:p>
      <w:pPr>
        <w:ind w:right="100"/>
        <w:spacing w:after="0" w:line="249" w:lineRule="auto"/>
        <w:rPr>
          <w:sz w:val="20"/>
          <w:szCs w:val="20"/>
          <w:color w:val="auto"/>
        </w:rPr>
      </w:pPr>
      <w:r>
        <w:rPr>
          <w:rFonts w:ascii="Times New Roman" w:cs="Times New Roman" w:eastAsia="Times New Roman" w:hAnsi="Times New Roman"/>
          <w:sz w:val="20"/>
          <w:szCs w:val="20"/>
          <w:color w:val="231F20"/>
        </w:rPr>
        <w:t xml:space="preserve">by the FDA or comparable foreign regulatory authorities. As such, even if we are successful in building a pipeline of product candidates from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we cannot be certain that such efforts will lead to the development of approvable or marketable products, either alone or in combination with other therapies.</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In response to reports of T cell malignancies in patients that previously received chimeric antigen receptor (CAR) T cell immunotherapies, the FDA announced in November 2023 its investigation into the risk of secondary cancers and the need for regulatory action for such therapies as a class and advised of new patient monitoring and reporting requirements with respect to such therapies. In January 2024, the FDA imposed a class-wide boxed warning requirement regarding the occurrence of T cell malignancies for all approved CAR T therapies. The FDA has noted that it currently believes that the overall benefits of these therapies continue to outweigh their potential risks for their approved uses. However, all currently approved CAR T cell immunotherapies are approved only in oncology indications, and there can be no assurance that the FDA or comparable foreign regulatory authorities will reach the same risk-benefit determination in other indications, such as autoimmune diseases. To the extent the FDA views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 therapies as posing similar or additional risks to those posed by the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CAR T therapies that were the subject of these FDA actions, the FDA may require us to take certain actions in connection with any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 clinical trials we may conduct or we may otherwise receive correspondence from the FDA regarding these developments. It is unclear at this time how changes in the leadership of the FDA and other government administration actions and changes will impact our operations and future interactions with the FDA. Additionally, we and our product candidates may be subject to further regulatory actions or requirements of the FDA or comparable foreign regulatory authorities relating to these therapies, such as requiring a black box warning or other labeling disclosures for any approved products. The occurrence of any of the foregoing could increase the cost and complexity of development and commercialization of, and limit the commercial opportunity for, such product candidates, any of which could have a material adverse effect on our business.</w:t>
      </w:r>
    </w:p>
    <w:p>
      <w:pPr>
        <w:spacing w:after="0" w:line="32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successfully identify, develop, and commercialize any product candidates, or experience significant delays in doing so, our business, financial condition, and results of operations will be materially adversely affected.</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Our ability to generate revenue from sales of any of our product candidates, which we do not expect to occur for at least the next several years, if ever, will depend heavily on the timely and successful identification, development, regulatory approval, and eventual commercialization of any such product candidates, which may never occur. To date, we have not generated revenue from sales of any products, and we may never be able to develop, obtain regulatory approval for, or commercialize a marketable product. Before we generate any revenue from product sales of any of our current or potential future product candidates, we will need to manage research, preclinical, clinical, and manufacturing activities, including undertaking significant clinical development, obtain regulatory approval in multiple jurisdictions, establish manufacturing supply, including commercial manufacturing supply, and build a commercial organization, which will require substantial investment and significant marketing efforts. We may never receive regulatory approval for any of our product candidates, which would prevent us from marketing, promoting, or selling any of our product candidates and generating revenue.</w:t>
      </w:r>
    </w:p>
    <w:p>
      <w:pPr>
        <w:spacing w:after="0" w:line="202" w:lineRule="exact"/>
        <w:rPr>
          <w:sz w:val="20"/>
          <w:szCs w:val="20"/>
          <w:color w:val="auto"/>
        </w:rPr>
      </w:pPr>
    </w:p>
    <w:p>
      <w:pPr>
        <w:ind w:right="740" w:firstLine="490"/>
        <w:spacing w:after="0" w:line="277" w:lineRule="auto"/>
        <w:rPr>
          <w:sz w:val="20"/>
          <w:szCs w:val="20"/>
          <w:color w:val="auto"/>
        </w:rPr>
      </w:pPr>
      <w:r>
        <w:rPr>
          <w:rFonts w:ascii="Times New Roman" w:cs="Times New Roman" w:eastAsia="Times New Roman" w:hAnsi="Times New Roman"/>
          <w:sz w:val="20"/>
          <w:szCs w:val="20"/>
          <w:color w:val="231F20"/>
        </w:rPr>
        <w:t>The successful development of our product candidates will depend on or be affected by numerous factors, including the following:</w:t>
      </w:r>
    </w:p>
    <w:p>
      <w:pPr>
        <w:spacing w:after="0" w:line="64" w:lineRule="exact"/>
        <w:rPr>
          <w:sz w:val="20"/>
          <w:szCs w:val="20"/>
          <w:color w:val="auto"/>
        </w:rPr>
      </w:pPr>
    </w:p>
    <w:p>
      <w:pPr>
        <w:ind w:left="980" w:right="460" w:hanging="490"/>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successful and timely completion of preclinical studies and clinical trials for which the FDA and any comparable foreign regulatory authorities agree with the design, endpoints, and implementation;</w:t>
      </w:r>
    </w:p>
    <w:p>
      <w:pPr>
        <w:spacing w:after="0" w:line="64"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sufficiency of our financial and other resources to complete the necessary preclinical studies and clinical trials and manufacturing activities necessary to support such studies and trials;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timely receipt of regulatory approvals or authorizations to conduct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timely and successfully initiate, enroll patients in, and complete clinical trials;</w:t>
      </w:r>
    </w:p>
    <w:p>
      <w:pPr>
        <w:spacing w:after="0" w:line="133" w:lineRule="exact"/>
        <w:rPr>
          <w:rFonts w:ascii="Arial" w:cs="Arial" w:eastAsia="Arial" w:hAnsi="Arial"/>
          <w:sz w:val="20"/>
          <w:szCs w:val="20"/>
          <w:color w:val="231F20"/>
        </w:rPr>
      </w:pPr>
    </w:p>
    <w:p>
      <w:pPr>
        <w:ind w:left="980" w:hanging="490"/>
        <w:spacing w:after="0" w:line="249"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demonstrate to the satisfaction of the FDA or any comparable foreign regulatory authority that the applicable product candidate meets the FDA’s or such comparable foreign regulatory authority’s legal standards with respect to safety, purity, and potency, or efficacy, which may include, among other things, demonstrating that the benefits of the product candidate outweigh its known risks for the intended patient population, and that such product candidate can be manufactured in accordance with applicable legal requirements;</w:t>
      </w:r>
    </w:p>
    <w:p>
      <w:pPr>
        <w:spacing w:after="0" w:line="90"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timely receipt of marketing approvals for our product candidates from applicable regulatory authorities, including the impact of any changes to the FDA’s Accelerated Approval Program;</w:t>
      </w:r>
    </w:p>
    <w:p>
      <w:pPr>
        <w:spacing w:after="0" w:line="64" w:lineRule="exact"/>
        <w:rPr>
          <w:rFonts w:ascii="Arial" w:cs="Arial" w:eastAsia="Arial" w:hAnsi="Arial"/>
          <w:sz w:val="20"/>
          <w:szCs w:val="20"/>
          <w:color w:val="231F20"/>
        </w:rPr>
      </w:pPr>
    </w:p>
    <w:p>
      <w:pPr>
        <w:jc w:val="both"/>
        <w:ind w:left="980" w:right="280" w:hanging="490"/>
        <w:spacing w:after="0" w:line="258"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address any potential interruptions or delays resulting from external factors, including those related to the current global geo-political, business, and economic environment, including any changes in government administration policy positions;</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800"/>
          </w:cols>
          <w:pgMar w:left="540" w:top="743" w:right="540" w:bottom="0" w:gutter="0" w:footer="0" w:header="0"/>
          <w:type w:val="continuous"/>
        </w:sectPr>
      </w:pPr>
    </w:p>
    <w:bookmarkStart w:id="71" w:name="page72"/>
    <w:bookmarkEnd w:id="71"/>
    <w:p>
      <w:pPr>
        <w:ind w:left="980" w:right="220" w:hanging="490"/>
        <w:spacing w:after="0" w:line="252"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of any clinical or regulatory setbacks experienced by other companies developing similar products or within adjacent fields, including cell-based therapies and the fields of gene editing and gene therapy, or publications or press coverage related to such therapies and fields, which could negatively impact the perceptions of the value and risk of our product candidates and technologies;</w:t>
      </w:r>
    </w:p>
    <w:p>
      <w:pPr>
        <w:spacing w:after="0" w:line="87" w:lineRule="exact"/>
        <w:rPr>
          <w:rFonts w:ascii="Arial" w:cs="Arial" w:eastAsia="Arial" w:hAnsi="Arial"/>
          <w:sz w:val="20"/>
          <w:szCs w:val="20"/>
          <w:color w:val="231F20"/>
        </w:rPr>
      </w:pPr>
    </w:p>
    <w:p>
      <w:pPr>
        <w:ind w:left="980" w:right="100" w:hanging="490"/>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of any post-marketing approval commitments we may be required to make to applicable regulatory authorities, including the conduct of any post-marketing approval clinical studies, and our ability to comply with any such commitments; and</w:t>
      </w:r>
    </w:p>
    <w:p>
      <w:pPr>
        <w:spacing w:after="0" w:line="81"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scale up, and scale out, either alone or with CDMOs, manufacturing capabilities for clinical supply of our product candidates for our clinical trials and, if any of our product candidates are approved, commercial supply (including licensure) of such product candidates.</w:t>
      </w:r>
    </w:p>
    <w:p>
      <w:pPr>
        <w:spacing w:after="0" w:line="187"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If we experience issues or delays with respect to any one or more of these factors, we could experience significant delays or be unable to successfully develop and commercialize our product candidates, which would materially adversely affect our business, financial condition, and 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realize the benefits of technologies that we have acquired or in-licensed or will acquire or in-license in the future.</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A key component of our strategy is to acquire and in-license technologies to support our mission of using engineered cells as medicines.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technologies represent an aggregation of years of innovation and technology from multiple academic institutions and companies, including hypoimmune technology that we licensed from the President and Fellows of Harvard College (Harvard) and The Regents of the University of California (UCSF), our fusogen technology that we acquired from Cobalt Biomedicine, Inc. (Cobalt), and gene editing technology that we licensed from Beam Therapeutics Inc., among others. We continue to actively evaluate various acquisition and licensing opportunities on an ongoing basis.</w:t>
      </w:r>
    </w:p>
    <w:p>
      <w:pPr>
        <w:spacing w:after="0" w:line="20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The level of success of these acquisition and in-licensing arrangements, including any that we may enter into in the future, will depend on the risks and uncertainties involved, including:</w:t>
      </w:r>
    </w:p>
    <w:p>
      <w:pPr>
        <w:spacing w:after="0" w:line="64" w:lineRule="exact"/>
        <w:rPr>
          <w:sz w:val="20"/>
          <w:szCs w:val="20"/>
          <w:color w:val="auto"/>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unanticipated liabilities related to acquired companies;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integrating acquired personnel, technologies, and operations into our existing business;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retaining key employees, including of any acquired businesses;</w:t>
      </w:r>
    </w:p>
    <w:p>
      <w:pPr>
        <w:spacing w:after="0" w:line="133" w:lineRule="exact"/>
        <w:rPr>
          <w:rFonts w:ascii="Arial" w:cs="Arial" w:eastAsia="Arial" w:hAnsi="Arial"/>
          <w:sz w:val="20"/>
          <w:szCs w:val="20"/>
          <w:color w:val="231F20"/>
        </w:rPr>
      </w:pPr>
    </w:p>
    <w:p>
      <w:pPr>
        <w:ind w:left="980" w:right="58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diversion of management time and focus from operating our business to management of acquisition and integration efforts;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increases in our expenses and reductions in our cash available for operations and other uses;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higher than expected acquisition or integration costs;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disruption in our relationships with collaborators, key suppliers, manufacturers, or customers as a result of an acquisition;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incurrence of substantial debt or dilutive issuances of equity securities to pay transaction consideration or costs;</w:t>
      </w:r>
    </w:p>
    <w:p>
      <w:pPr>
        <w:spacing w:after="0" w:line="133" w:lineRule="exact"/>
        <w:rPr>
          <w:rFonts w:ascii="Arial" w:cs="Arial" w:eastAsia="Arial" w:hAnsi="Arial"/>
          <w:sz w:val="20"/>
          <w:szCs w:val="20"/>
          <w:color w:val="231F20"/>
        </w:rPr>
      </w:pPr>
    </w:p>
    <w:p>
      <w:pPr>
        <w:ind w:left="980" w:right="40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possible write-offs of assets, goodwill or impairment charges, or increased amortization expenses relating to acquired businesses;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 and cost of combining the operations and personnel of any acquired business with our own;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integrating acquired businesses into our business, including our existing operations and culture.</w:t>
      </w:r>
    </w:p>
    <w:p>
      <w:pPr>
        <w:spacing w:after="0" w:line="23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For example, we have conducted several portfolio prioritizations to consolidate our resource allocation to fewer programs, resulting in, among other things, workforce reductions. Most recently, we conducted a portfolio prioritization to prioritize future development of SC451, our type 1 diabetes program, and programs enabled by our fusogen platform, and suspended development of and further internal investment in our two allogeneic cell therapy CAR T programs. Furthermore, we regularly evaluate our portfolio and may conduct further portfolio prioritizations in the future, which could result in the suspension, discontinuation, or divestiture of certain programs that are our current focus of development, which increases the risk that the benefits we expected from any acquired technologies, such as the fusogen platform, may be more expensive and difficult to obtain or may not occur at all.</w:t>
      </w:r>
    </w:p>
    <w:p>
      <w:pPr>
        <w:spacing w:after="0" w:line="200" w:lineRule="exact"/>
        <w:rPr>
          <w:sz w:val="20"/>
          <w:szCs w:val="20"/>
          <w:color w:val="auto"/>
        </w:rPr>
      </w:pPr>
    </w:p>
    <w:p>
      <w:pPr>
        <w:jc w:val="both"/>
        <w:ind w:right="60" w:firstLine="490"/>
        <w:spacing w:after="0" w:line="278" w:lineRule="auto"/>
        <w:rPr>
          <w:sz w:val="20"/>
          <w:szCs w:val="20"/>
          <w:color w:val="auto"/>
        </w:rPr>
      </w:pPr>
      <w:r>
        <w:rPr>
          <w:rFonts w:ascii="Times New Roman" w:cs="Times New Roman" w:eastAsia="Times New Roman" w:hAnsi="Times New Roman"/>
          <w:sz w:val="19"/>
          <w:szCs w:val="19"/>
          <w:color w:val="231F20"/>
        </w:rPr>
        <w:t>In addition, foreign acquisitions and licensing arrangements are subject to additional risks, including those related to integration of operations across different cultures and languages, currency risks, potentially adverse tax consequences of overseas operations, and the particular economic, political, regulatory, and compliance risks associated with specific countries. The occurrence of any of these</w:t>
      </w:r>
    </w:p>
    <w:p>
      <w:pPr>
        <w:sectPr>
          <w:pgSz w:w="11880" w:h="15480" w:orient="portrait"/>
          <w:cols w:equalWidth="0" w:num="1">
            <w:col w:w="10780"/>
          </w:cols>
          <w:pgMar w:left="540" w:top="764" w:right="560" w:bottom="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780"/>
          </w:cols>
          <w:pgMar w:left="540" w:top="764" w:right="560" w:bottom="0" w:gutter="0" w:footer="0" w:header="0"/>
          <w:type w:val="continuous"/>
        </w:sectPr>
      </w:pPr>
    </w:p>
    <w:bookmarkStart w:id="72" w:name="page73"/>
    <w:bookmarkEnd w:id="72"/>
    <w:p>
      <w:pPr>
        <w:ind w:right="520"/>
        <w:spacing w:after="0" w:line="277" w:lineRule="auto"/>
        <w:rPr>
          <w:sz w:val="20"/>
          <w:szCs w:val="20"/>
          <w:color w:val="auto"/>
        </w:rPr>
      </w:pPr>
      <w:r>
        <w:rPr>
          <w:rFonts w:ascii="Times New Roman" w:cs="Times New Roman" w:eastAsia="Times New Roman" w:hAnsi="Times New Roman"/>
          <w:sz w:val="20"/>
          <w:szCs w:val="20"/>
          <w:color w:val="231F20"/>
        </w:rPr>
        <w:t>risks or uncertainties may preclude us from realizing the anticipated benefit of any acquisition or licensing arrangement, and our financial condition may be harmed.</w:t>
      </w:r>
    </w:p>
    <w:p>
      <w:pPr>
        <w:spacing w:after="0" w:line="162"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231F20"/>
        </w:rPr>
        <w:t>Additionally, we may not be successful in our efforts to acquire, obtain rights to, or otherwise access certain technologies or products that are necessary for the success of our product candidates or technologies on acceptable terms or at all, including because we may be unable to successfully or timely negotiate the terms of an agreement with the third-party owner of such technology or products or such third party may have determined to deprioritize such technology or products. Such transactions, as well as other strategic relationships we may enter into, may also be impacted by policies of or actions by certain regulatory authorities, such as the Federal Trade Commission (FTC), that have jurisdiction over various aspects of such transactions and relationships. If we are not able to acquire, obtain rights to, or otherwise access certain technologies or products on which certain of our product candidates or technologies may depend, it may be necessary for us to delay, reduce, or curtail the development of such product candidates or technologies, or incur additional costs in order to continue development without such rights.</w:t>
      </w:r>
    </w:p>
    <w:p>
      <w:pPr>
        <w:spacing w:after="0" w:line="32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p>
    <w:p>
      <w:pPr>
        <w:spacing w:after="0" w:line="67"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231F20"/>
        </w:rPr>
        <w:t xml:space="preserve">Our product development programs and the potential commercialization of our product candidates will require substantial additional cash to fund expenses. In addition,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are attractive technologies for potential collaborations due to their breadth of application. Therefore, for certain of our product candidates or technologies, including those that we may develop in the future, we may decide to form or seek strategic alliances, collaborations, or similar arrangements with pharmaceutical or biotechnology companies or other third parties that we believe will complement or augment our development and potential commercialization efforts with respect to such product candidates, including in territories outside the United States or for certain indications. We may also pursue alternative strategies or relationships, such as spin-outs, joint ventures, or investments in complementary businesses that align with our strategy, which may pose risks similar to those described elsewhere in these Risk Factors with respect to collaborations, as well as additional risks unique to these types of relationships. To the extent we enter into strategic relationships involving parties located outside the United States, we are subject to similar risks to those described elsewhere in these Risk Factors with respect to foreign acquisitions and licensing arrangements.</w:t>
      </w:r>
    </w:p>
    <w:p>
      <w:pPr>
        <w:spacing w:after="0" w:line="202"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We face significant challenges, including competition in seeking appropriate collaborators. Collaborations are complex and time-consuming to negotiate and document. We may not be successful in our efforts to establish a collaboration or other alternative arrangements for our product candidates or technologies on acceptable terms or at all, including because our product candidates or technologies may be deemed to be at too early of a stage of development for collaborative effort or third parties may not view our product candidates as having the requisite potential to demonstrate success in clinical trials and ultimately obtain regulatory approval. We may incur costs to continue developing one or more of our product candidates or technologies to establish or support an appropriate collaboration, which costs may outweigh the benefit of any such collaboration, if we are able to enter into a collaboration at all.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and technologies, we may be restricted from entering into collaboration or similar agreements relating to those product candidates or technologies on certain terms or at all, and when we collaborate with a third party for development and commercialization of a product candidate, we expect that we may have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spacing w:after="0" w:line="217"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In instances where we enter into collaborations, we could be subject to the following risks, each of which may materially harm our business, commercialization prospects, and financial condition:</w:t>
      </w:r>
    </w:p>
    <w:p>
      <w:pPr>
        <w:spacing w:after="0" w:line="56" w:lineRule="exact"/>
        <w:rPr>
          <w:sz w:val="20"/>
          <w:szCs w:val="20"/>
          <w:color w:val="auto"/>
        </w:rPr>
      </w:pPr>
    </w:p>
    <w:p>
      <w:pPr>
        <w:ind w:left="980" w:right="640" w:hanging="490"/>
        <w:spacing w:after="0" w:line="249"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w:t>
      </w:r>
    </w:p>
    <w:p>
      <w:pPr>
        <w:spacing w:after="0" w:line="80" w:lineRule="exact"/>
        <w:rPr>
          <w:rFonts w:ascii="Arial" w:cs="Arial" w:eastAsia="Arial" w:hAnsi="Arial"/>
          <w:sz w:val="20"/>
          <w:szCs w:val="20"/>
          <w:color w:val="231F20"/>
        </w:rPr>
      </w:pPr>
    </w:p>
    <w:p>
      <w:pPr>
        <w:ind w:left="980" w:right="260" w:hanging="490"/>
        <w:spacing w:after="0" w:line="267"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experience financial difficulties, including those that could negatively impact their ability to perform their obligations pursuant to the collaboration agreement, such as funding and development obligations;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800"/>
          </w:cols>
          <w:pgMar w:left="540" w:top="750" w:right="540" w:bottom="0" w:gutter="0" w:footer="0" w:header="0"/>
          <w:type w:val="continuous"/>
        </w:sectPr>
      </w:pPr>
    </w:p>
    <w:bookmarkStart w:id="73" w:name="page74"/>
    <w:bookmarkEnd w:id="73"/>
    <w:p>
      <w:pPr>
        <w:jc w:val="both"/>
        <w:ind w:left="980" w:right="100" w:hanging="490"/>
        <w:spacing w:after="0" w:line="249"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pursue development and commercialization of collaboration product candidates or may elect not to continue or renew development or commercialization programs based on clinical trial results or changes in their strategic focus;</w:t>
      </w:r>
    </w:p>
    <w:p>
      <w:pPr>
        <w:spacing w:after="0" w:line="80" w:lineRule="exact"/>
        <w:rPr>
          <w:rFonts w:ascii="Arial" w:cs="Arial" w:eastAsia="Arial" w:hAnsi="Arial"/>
          <w:sz w:val="20"/>
          <w:szCs w:val="20"/>
          <w:color w:val="231F20"/>
        </w:rPr>
      </w:pPr>
    </w:p>
    <w:p>
      <w:pPr>
        <w:ind w:left="980" w:right="40" w:hanging="490"/>
        <w:spacing w:after="0" w:line="249"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decide or may be required by regulatory authorities to delay clinical trials, stop a clinical trial, or abandon a product candidate, repeat or conduct new clinical trials, or require a new formulation of a product candidate for clinical testing;</w:t>
      </w:r>
    </w:p>
    <w:p>
      <w:pPr>
        <w:spacing w:after="0" w:line="80" w:lineRule="exact"/>
        <w:rPr>
          <w:rFonts w:ascii="Arial" w:cs="Arial" w:eastAsia="Arial" w:hAnsi="Arial"/>
          <w:sz w:val="20"/>
          <w:szCs w:val="20"/>
          <w:color w:val="231F20"/>
        </w:rPr>
      </w:pPr>
    </w:p>
    <w:p>
      <w:pPr>
        <w:ind w:left="980" w:right="900" w:hanging="490"/>
        <w:spacing w:after="0" w:line="267"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required to relinquish important rights to our product candidates or technologies, such as marketing, distribution, and intellectual property rights;</w:t>
      </w:r>
    </w:p>
    <w:p>
      <w:pPr>
        <w:spacing w:after="0" w:line="63" w:lineRule="exact"/>
        <w:rPr>
          <w:rFonts w:ascii="Arial" w:cs="Arial" w:eastAsia="Arial" w:hAnsi="Arial"/>
          <w:sz w:val="20"/>
          <w:szCs w:val="20"/>
          <w:color w:val="231F20"/>
        </w:rPr>
      </w:pPr>
    </w:p>
    <w:p>
      <w:pPr>
        <w:ind w:left="980" w:right="20" w:hanging="490"/>
        <w:spacing w:after="0" w:line="242"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required to agree to exclusivity, non-competition, or other terms that restrict our ability to research, develop, or commercialize certain existing or potential future product candidates or technologies, including our ability to develop our product candidates in certain indications or geographic regions or combine our product candidates with certain third-party products;</w:t>
      </w:r>
    </w:p>
    <w:p>
      <w:pPr>
        <w:spacing w:after="0" w:line="97" w:lineRule="exact"/>
        <w:rPr>
          <w:rFonts w:ascii="Arial" w:cs="Arial" w:eastAsia="Arial" w:hAnsi="Arial"/>
          <w:sz w:val="20"/>
          <w:szCs w:val="20"/>
          <w:color w:val="231F20"/>
        </w:rPr>
      </w:pPr>
    </w:p>
    <w:p>
      <w:pPr>
        <w:jc w:val="both"/>
        <w:ind w:left="980" w:right="100" w:hanging="490"/>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w:t>
      </w:r>
    </w:p>
    <w:p>
      <w:pPr>
        <w:spacing w:after="0" w:line="81"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infringe the intellectual property rights of third parties, which may expose us to litigation and potential liability;</w:t>
      </w:r>
    </w:p>
    <w:p>
      <w:pPr>
        <w:spacing w:after="0" w:line="64" w:lineRule="exact"/>
        <w:rPr>
          <w:rFonts w:ascii="Arial" w:cs="Arial" w:eastAsia="Arial" w:hAnsi="Arial"/>
          <w:sz w:val="20"/>
          <w:szCs w:val="20"/>
          <w:color w:val="231F20"/>
        </w:rPr>
      </w:pPr>
    </w:p>
    <w:p>
      <w:pPr>
        <w:jc w:val="both"/>
        <w:ind w:left="980" w:right="360" w:hanging="490"/>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w:t>
      </w:r>
    </w:p>
    <w:p>
      <w:pPr>
        <w:spacing w:after="0" w:line="81" w:lineRule="exact"/>
        <w:rPr>
          <w:rFonts w:ascii="Arial" w:cs="Arial" w:eastAsia="Arial" w:hAnsi="Arial"/>
          <w:sz w:val="20"/>
          <w:szCs w:val="20"/>
          <w:color w:val="231F20"/>
        </w:rPr>
      </w:pPr>
    </w:p>
    <w:p>
      <w:pPr>
        <w:ind w:left="980" w:right="120" w:hanging="490"/>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own or co-own intellectual property rights covering the product candidates or technologies that result from our collaboration, and in such cases, we may not have the exclusive right to commercialize such product candidates or technologies;</w:t>
      </w:r>
    </w:p>
    <w:p>
      <w:pPr>
        <w:spacing w:after="0" w:line="81" w:lineRule="exact"/>
        <w:rPr>
          <w:rFonts w:ascii="Arial" w:cs="Arial" w:eastAsia="Arial" w:hAnsi="Arial"/>
          <w:sz w:val="20"/>
          <w:szCs w:val="20"/>
          <w:color w:val="231F20"/>
        </w:rPr>
      </w:pPr>
    </w:p>
    <w:p>
      <w:pPr>
        <w:ind w:left="980" w:right="220" w:hanging="490"/>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w:t>
      </w:r>
    </w:p>
    <w:p>
      <w:pPr>
        <w:spacing w:after="0" w:line="81"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may arise with our collaborators that could result in the delay or termination of the research, development, or commercialization of the applicable product candidates or costly litigation or arbitration that diverts management attention and resources;</w:t>
      </w:r>
    </w:p>
    <w:p>
      <w:pPr>
        <w:spacing w:after="0" w:line="81" w:lineRule="exact"/>
        <w:rPr>
          <w:rFonts w:ascii="Arial" w:cs="Arial" w:eastAsia="Arial" w:hAnsi="Arial"/>
          <w:sz w:val="20"/>
          <w:szCs w:val="20"/>
          <w:color w:val="231F20"/>
        </w:rPr>
      </w:pPr>
    </w:p>
    <w:p>
      <w:pPr>
        <w:ind w:left="980" w:right="740" w:hanging="490"/>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combinations or significant changes in a collaborator’s business strategy may adversely affect our or the collaborator’s willingness to complete our or such collaborator’s obligations under the collaboration;</w:t>
      </w:r>
    </w:p>
    <w:p>
      <w:pPr>
        <w:spacing w:after="0" w:line="64"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collaborations may be terminated, which may require us to obtain additional capital to pursue further development or commercialization of the applicable product candidates or technologies; or</w:t>
      </w:r>
    </w:p>
    <w:p>
      <w:pPr>
        <w:spacing w:after="0" w:line="64"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achieve the revenue, specific net income, or other anticipated benefits that justify our having entered into, or otherwise led us to enter into, the collaboration.</w:t>
      </w:r>
    </w:p>
    <w:p>
      <w:pPr>
        <w:spacing w:after="0" w:line="1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If our strategic collaborations do not result in the successful development and commercialization of product candidates, or if one of our collaborators terminates its agreement with us, we may not receive any future research funding or milestone, royalty, or other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occur after we enter into a collaboration, we may have to curtail the development of a particular product candidate, reduce the scope of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w:t>
      </w:r>
    </w:p>
    <w:p>
      <w:pPr>
        <w:spacing w:after="0" w:line="32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develop our cell engineering platforms and product candidates and our future growth depend on retaining our key personnel and recruiting additional qualified personnel.</w:t>
      </w:r>
    </w:p>
    <w:p>
      <w:pPr>
        <w:sectPr>
          <w:pgSz w:w="11880" w:h="15480" w:orient="portrait"/>
          <w:cols w:equalWidth="0" w:num="1">
            <w:col w:w="10800"/>
          </w:cols>
          <w:pgMar w:left="540" w:top="7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800"/>
          </w:cols>
          <w:pgMar w:left="540" w:top="756" w:right="540" w:bottom="0" w:gutter="0" w:footer="0" w:header="0"/>
          <w:type w:val="continuous"/>
        </w:sectPr>
      </w:pPr>
    </w:p>
    <w:bookmarkStart w:id="74" w:name="page75"/>
    <w:bookmarkEnd w:id="74"/>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Our success depends upon the continued contributions of our key management, scientific, and technical personnel, many of whom have been instrumental for us and have substantial experience with our cell engineering platforms and their underlying technologies and related product candidates. Given the specialized nature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technologies and the fact that we are operating in novel and emerging fields, there is an inherent scarcity of personnel with the requisite experience to fill the roles across our organization. As we continue developing our product candidates and building our pipeline, we will require personnel with medical, scientific, or technical qualifications and expertise specific to each program. The loss of key management and senior scientists or other personnel could delay or otherwise impact our research and development activities, for example, through loss of institutional knowledge, capabilities, or subject matter expertise. In addition, the loss of key executives could disrupt our operations and our ability to conduct our business. Despite our efforts to retain valuable employees, all of our employees are at-will employees, and members of our management, scientific, and development teams may terminate their employment with us at any time, with or without notice. Moreover, regulations or legislation impacting our workforce, and any legal challenges thereto, may lead to increased uncertainty in hiring and competition for talent, and harm our ability to protect our company, including our intellectual property, after termination of employment. If our retention efforts are unsuccessful now or in the future, it may be difficult for us to implement our business strategy, which could have a material adverse effect on our business.</w:t>
      </w:r>
    </w:p>
    <w:p>
      <w:pPr>
        <w:spacing w:after="0" w:line="21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Further, certain of our key personnel continue to be employed by academic institutions. We may in the future have other personnel that have similar arrangements. These arrangements expose us to the risk that these individuals may return to their academic positions full-time, devote less of their time or attention to us than is optimal, or potentially expose us to claims of intellectual property ownership or co-ownership by their respective academic institutions.</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competition for qualified personnel in the biotechnology and pharmaceutical industries is intense, and our future success depends upon our ability to attract, retain, and motivate highly skilled employees, including executives, scientists, engineers, clinical operations and manufacturing personnel, and sales professionals. We expect that we may continue to face competition for personnel from other companies, universities, public and private research institutions, and other organizations. We have from time to time experienced, and we expect to continue to experience, difficulty in hiring and retaining qualified employees on acceptable terms, or at all. For example, the United States government has announced changes to the H-1B visa program, including a new one-time $100,000 fee for new H-1B petitions, and plans to take further steps to reform the H-1B program. These or other changes to the H-1B program or the requirements for other visas could increase our costs, limit the flow of technical and professional talent into the United States, or otherwise harm our ability to recruit and retain qualified personnel who are critical to our business. In addition, many of the companies with which we compete for experienced personnel may have greater resources than we do and may be able to provide prospective job candidates or our existing employees with more attractive roles, salaries, or benefits than we can provide. If we hire employees from competitors or other companies, their former employers may attempt to assert that these employees or we have breached legal obligations, including non-solicitation or non-compete obligations, which may result in a diversion of our time and resources and, potentially, damages. In addition, job candidates and existing employees often consider the value of the stock awards they receive in connection with their employment. If the perceived benefits of our stock awards decline or are otherwise viewed unfavorably compared to those of companies with which we compete for talent, or if we or our prospects are otherwise viewed unfavorably, this could negatively impact our ability to recruit, motivate, and retain highly skilled employees.</w:t>
      </w:r>
    </w:p>
    <w:p>
      <w:pPr>
        <w:spacing w:after="0" w:line="20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In November 2025, we conducted a portfolio prioritization to prioritize development of our SC451 and SG293 programs, and suspended development of and further internal investment in our two allogeneic cell therapy CAR T programs – SC291 in B-cell mediated autoimmune diseases and SC262 in oncology. Further, we previously conducted several portfolio prioritizations pursuant to which we implemented reductions in our workforce. Portfolio prioritizations and any associated reductions in our workforce may result in attrition beyond any planned reduction in workforce, reduced employee morale, and negative publicity, which may damage our reputation and make it more difficult for us to retain and motivate our current personnel as well as attract new personnel. These workforce reductions have also caused us to lose institutional knowledge, capabilities, and subject matter expertise and could negatively affect our efforts to obtain and maintain our intellectual property rights in the event we are unable to identify inventions made or identify or recreate the necessary scientific records or data. Any of the foregoing could significantly harm our business and future growth prospects.</w:t>
      </w:r>
    </w:p>
    <w:p>
      <w:pPr>
        <w:spacing w:after="0" w:line="32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Though many of our personnel have significant experience with respect to manufacturing biopharmaceutical products, we, as a company, do not have experience maintaining a manufacturing facility. For any manufacturing facility that we may develop or maintain, we cannot guarantee that we will be able to maintain a compliant facility and manufacture our product candidates as intended, given the complexity of manufacturing novel therapeutics. If we fail to successfully operate any facility we may develop or are unable to manufacture a sufficient and compliant supply of our product candidates to meet our needs, our clinical trials and the commercial viability of our product candidates could be adversely affected.</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manufacture of biopharmaceutical products is complex and requires significant expertise, including the development of advanced manufacturing techniques and process controls. Manufacturers of cell and gene therapy products often encounter difficulties in production, particularly in scaling up, scaling out, validating initial production, ensuring product quality and the absence of</w:t>
      </w:r>
    </w:p>
    <w:p>
      <w:pPr>
        <w:sectPr>
          <w:pgSz w:w="11880" w:h="15480" w:orient="portrait"/>
          <w:cols w:equalWidth="0" w:num="1">
            <w:col w:w="10800"/>
          </w:cols>
          <w:pgMar w:left="540" w:top="750" w:right="54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800"/>
          </w:cols>
          <w:pgMar w:left="540" w:top="750" w:right="540" w:bottom="0" w:gutter="0" w:footer="0" w:header="0"/>
          <w:type w:val="continuous"/>
        </w:sectPr>
      </w:pPr>
    </w:p>
    <w:bookmarkStart w:id="75" w:name="page76"/>
    <w:bookmarkEnd w:id="75"/>
    <w:p>
      <w:pPr>
        <w:ind w:right="100"/>
        <w:spacing w:after="0" w:line="244" w:lineRule="auto"/>
        <w:rPr>
          <w:sz w:val="20"/>
          <w:szCs w:val="20"/>
          <w:color w:val="auto"/>
        </w:rPr>
      </w:pPr>
      <w:r>
        <w:rPr>
          <w:rFonts w:ascii="Times New Roman" w:cs="Times New Roman" w:eastAsia="Times New Roman" w:hAnsi="Times New Roman"/>
          <w:sz w:val="20"/>
          <w:szCs w:val="20"/>
          <w:color w:val="231F20"/>
        </w:rPr>
        <w:t>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As a result of the complexities involved in biopharmaceutical manufacturing, the cost to manufacture biologics is generally higher than traditional small molecule chemical compounds and the manufacturing process is less reliable and more difficult to reproduce, and this is particularly true with respect to our product candidates. The application of new regulatory guidelines or parameters, such as those related to control strategy testing, may also adversely affect our ability to manufacture our product candidates in a compliant and cost-effective manner or at all. Any of the foregoing could lead to delays in or an inability to successfully manufacture our product candidates at the scale required for the development and potential commercialization of our product candidates.</w:t>
      </w:r>
    </w:p>
    <w:p>
      <w:pPr>
        <w:spacing w:after="0" w:line="206"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We have invested in building world class capabilities in key areas of manufacturing sciences, operations, and quality, including development of our cell engineering platforms, product characterization, and process analytics. Our investments also include scaled research solutions, scaled infrastructure, and novel technologies to improve efficiency, characterization, quality, and scalability of manufacturing. However, we have limited experience in managing the manufacturing processes necessary for making cell and gene therapies. We cannot be sure that the manufacturing processes that we use, or the technologies that we incorporate into these processes, will result in viable or scalable yields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product candidates that will have acceptable safety, purity, and potency, or efficacy, profiles and meet market demand.</w:t>
      </w:r>
    </w:p>
    <w:p>
      <w:pPr>
        <w:spacing w:after="0" w:line="20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Designing and building out a current good manufacturing practices (cGMP) facility are time-consuming and require significant resources, which may require reallocation of certain existing financial, human, and other resources, including the time and attention of senior management. In addition, given the volatility in the costs of building materials, as well as the impact of rising rates of inflation in recent years and which may occur in the future, building out manufacturing capabilities may be more expensive than we expect. We have limited experience as a company in developing internal manufacturing capabilities, and we may experience unexpected costs or delays or be unsuccessful in developing internal manufacturing capabilities in accordance with our timelines or at all. Building out a manufacturing facility requires engagement of third-party service providers and procurement of equipment and third-party technology necessary for manufacturing activities, and agreements with such third parties or access to necessary technologies may not be available on commercially reasonable terms or at all. Moreover, there is no guarantee that the space that we may lease to develop a manufacturing facility would not change ownership over the term of the lease or be subject to additional zoning or other restrictions, and that, in such an event, we would be able to continue to build or operate the facility without restriction or further delay or cost. In addition, operating a manufacturing facility may require us to hire and retain experienced scientific, quality control, quality assurance, and manufacturing personnel. As described elsewhere in these Risk Factors, this may be difficult given the intense competition for qualified personnel in the biotechnology and pharmaceutical industries.</w:t>
      </w:r>
    </w:p>
    <w:p>
      <w:pPr>
        <w:spacing w:after="0" w:line="21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We currently rely, and expect we will continue to rely, on CDMOs to manufacture our product candidates for preclinical studies and clinical trials. For any manufacturing facility we may develop, it may take us longer to establish and operationalize such facility than we originally anticipated, which could delay our ability to begin manufacturing certain of our product candidates internally, extend the period of time during which we must solely rely on CDMOs for the manufacture of such product candidates, and delay our clinical development timelines.</w:t>
      </w:r>
    </w:p>
    <w:p>
      <w:pPr>
        <w:spacing w:after="0" w:line="197"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In order to begin manufacturing activities at any manufacturing facility that we may operate, we may be required to transfer manufacturing processes and know-how for certain of our product candidates from our other facilities or our CDMOs to such facility. To date, we and our CDMOs have limited experience in the technology transfer of manufacturing processes. Transferring manufacturing processes and know-how is complex and involves review and incorporation of both documented and undocumented processes that may have evolved over time. In addition, transferring production to any facility we may operate may require utilization of new or different processes to meet our facility requirements. Additional studies may also need to be conducted to support the transfer of certain manufacturing processes and process improvements. We will not know with certainty whether all relevant know-how and data have been adequately incorporated into the manufacturing process being conducted at our facilities until the completion of studies and evaluations intended to demonstrate the comparability of material previously produced by our CDMOs with that generated by our facilities. Similar risks and considerations apply to the initial technology transfer from us to our CDMOs for manufacturing of pre-clinical and clinical supply, as well as between CDMOs in the event we are required to switch to a new CDMO.</w:t>
      </w:r>
    </w:p>
    <w:p>
      <w:pPr>
        <w:spacing w:after="0" w:line="20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Operating a manufacturing facility will require us to comply with complex regulations. Moreover, any future commercial manufacturing facilities we may operate will require FDA or comparable foreign regulatory authority approval, which we may not obtain in time to support registration-enabling clinical trials for our product candidates, if at all. Even if approved, we would be subject to ongoing periodic unannounced inspections by the FDA, the Drug Enforcement Administration, corresponding state agencies, and comparable foreign regulatory authorities to ensure strict compliance with cGMP, current good tissue practices (cGTPs), and other government regulations. We may be unable to manufacture our product candidates if we fail to meet regulatory requirements and may be unable to scale up or scale out our manufacturing to meet market demand. Any failure or delay in the development of our manufacturing capabilities could adversely impact the development and potential commercialization of our product candidates.</w:t>
      </w:r>
    </w:p>
    <w:p>
      <w:pPr>
        <w:sectPr>
          <w:pgSz w:w="11880" w:h="15480" w:orient="portrait"/>
          <w:cols w:equalWidth="0" w:num="1">
            <w:col w:w="10800"/>
          </w:cols>
          <w:pgMar w:left="540" w:top="750" w:right="54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800"/>
          </w:cols>
          <w:pgMar w:left="540" w:top="750" w:right="540" w:bottom="0" w:gutter="0" w:footer="0" w:header="0"/>
          <w:type w:val="continuous"/>
        </w:sectPr>
      </w:pPr>
    </w:p>
    <w:bookmarkStart w:id="76" w:name="page77"/>
    <w:bookmarkEnd w:id="76"/>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encounter difficulties in managing our growth if and as we expand our operations, including our development and regulatory capabilities, which could disrupt our operations and otherwise harm our business.</w:t>
      </w:r>
    </w:p>
    <w:p>
      <w:pPr>
        <w:spacing w:after="0" w:line="4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We experienced rapid growth following our inception in July 2018. However, as described elsewhere in these Risk Factors, we undertook workforce reductions as part of our past restructurings, and in November 2025, conducted a portfolio prioritization to prioritize development of our SC451 and SG293 programs and suspended development of and further internal investment in our two allogeneic cell therapy CAR T programs. These events may yield unintended consequences and costs, including difficulty retaining and motivating remaining employees, difficulty attracting and hiring qualified employees, and increased reliance on third parties if needed to support our internal capabilities.</w:t>
      </w:r>
    </w:p>
    <w:p>
      <w:pPr>
        <w:spacing w:after="0" w:line="20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Despite our workforce reductions, if we have success in our future clinical trials and expand our research and development efforts, we may experience future growth in the scope of our operations, particularly if and as we advance our product candidates into and through IND-enabling studies and clinical trials and continue to establish and develop our regulatory, quality, and clinical operations and supply chain logistics and manufacturing. To manage our growth, we have implemented and improved, and plan to continue to implement and improve, our managerial, operational, and financial systems, and continue to recruit and train additional qualified personnel if and as we grow. However, due to our limited financial resources and the complexity of managing a growing company, we may not be able to effectively manage the expansion of our operations or recruit and train sufficient additional qualified personnel to achieve our business objectives within our desired timelines. The continued expansion of our operations will be costly and may divert our management and business development resources. For example, members of management will have significant added responsibilities in connection with effecting and managing our growth, including identifying, recruiting, integrating, maintaining, and motivating current and future employees, effectively managing our internal development efforts, including the clinical and regulatory (e.g., FDA) review process, while complying with our contractual obligations to third parties, and maintaining and improving our operational, financial, and management controls, reporting systems, and procedures. In addition, as we grow, we may be required to rely more heavily on third-party service providers, which exposes us to risks to which we would not be subject if we performed all work internally, as described elsewhere in these Risk Factors. Our inability to successfully manage our growth could disrupt our operations and otherwise harm our business, including by delaying execution of our programs and business plans.</w:t>
      </w:r>
    </w:p>
    <w:p>
      <w:pPr>
        <w:spacing w:after="0" w:line="322"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19"/>
          <w:szCs w:val="19"/>
          <w:color w:val="231F20"/>
        </w:rPr>
        <w:t>Because we have limited financial and managerial resources, we focus on research programs, therapeutic platforms, and product candidates that we identify for specific indications. Additionally, we have contractual commitments under certain of our agreements to use commercially reasonable efforts to develop certain programs and, thus, do not have unilateral discretion to vary from such efforts. In addition, we have contractual commitments to conduct certain development plans, and thus may not have discretion to modify such development plans, including clinical trial designs, without agreement from our partners.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Additionally, we have been and may continue to be required to limit our investment of resources to certain programs in our portfolio that we believe have higher probabilities of success and, consequently, to reduce our investment in other potentially promising programs. Such decisions have required and would in the future require us to reduce the breadth and diversity of our product portfolio, which could potentially limit the long-term growth of our pipeline and subject us to greater risk that the failure of any such programs would harm our prospects.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or otherwise decide to cease development of a product candidate, we may relinquish valuable rights to that product candidate through collaboration, licensing, royalty, or other arrangements in cases in which it would have been more advantageous for us to retain sole development and commercialization rights.</w:t>
      </w:r>
    </w:p>
    <w:p>
      <w:pPr>
        <w:spacing w:after="0" w:line="310"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b w:val="1"/>
          <w:bCs w:val="1"/>
          <w:i w:val="1"/>
          <w:iCs w:val="1"/>
          <w:color w:val="231F20"/>
        </w:rPr>
        <w:t>The use of human stem cells exposes us to a number of risks in the development of our human stem cell-derived products, including inability to obtain suitable donor material from eligible and qualified human donors, restrictions on the use of human stem cells, as well as the ethical, legal, and social implications of research on the use of stem cells, any of which could prevent us from completing the development of or commercializing and gaining acceptance for our human stem cell-derived products.</w:t>
      </w:r>
    </w:p>
    <w:p>
      <w:pPr>
        <w:spacing w:after="0" w:line="72"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 xml:space="preserve">We use human stem cells in our research and development, including induced PSCs (iPSCs) and embryonic stem cells (ESCs), and one or more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product candidates may be derived from human stem cells. The use of such cells in our research, or as starting cell lines in the manufacture of one or more of our product candidates, exposes us to numerous risks. These risks include difficulties in securing viable, appropriate, and sufficient stem cells as starting material, recruiting patients for our clinical trials, as well as managing a multitude of global legal and regulatory restrictions on the sourcing and use of these cells. For example, to the extent regulatory requirements differ across jurisdictions, we may face increased difficulty finding cells that meet all applicable jurisdictional requirements, or may be required to develop our product candidates using multiple different types of cells, which could increase the complexity and cost of development. In addition, certain cells may be subject to restrictions regarding the patient populations in which the resulting products can be used, which could limit the applicability and value of our product</w:t>
      </w:r>
    </w:p>
    <w:p>
      <w:pPr>
        <w:sectPr>
          <w:pgSz w:w="11880" w:h="15480" w:orient="portrait"/>
          <w:cols w:equalWidth="0" w:num="1">
            <w:col w:w="10800"/>
          </w:cols>
          <w:pgMar w:left="540" w:top="750" w:right="540" w:bottom="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800"/>
          </w:cols>
          <w:pgMar w:left="540" w:top="750" w:right="540" w:bottom="0" w:gutter="0" w:footer="0" w:header="0"/>
          <w:type w:val="continuous"/>
        </w:sectPr>
      </w:pPr>
    </w:p>
    <w:bookmarkStart w:id="77" w:name="page78"/>
    <w:bookmarkEnd w:id="77"/>
    <w:p>
      <w:pPr>
        <w:ind w:right="80"/>
        <w:spacing w:after="0" w:line="243" w:lineRule="auto"/>
        <w:rPr>
          <w:sz w:val="20"/>
          <w:szCs w:val="20"/>
          <w:color w:val="auto"/>
        </w:rPr>
      </w:pPr>
      <w:r>
        <w:rPr>
          <w:rFonts w:ascii="Times New Roman" w:cs="Times New Roman" w:eastAsia="Times New Roman" w:hAnsi="Times New Roman"/>
          <w:sz w:val="20"/>
          <w:szCs w:val="20"/>
          <w:color w:val="231F20"/>
        </w:rPr>
        <w:t xml:space="preserve">candidates. Further, in some states, use of embryonic tissue as a source of stem cells is prohibited and many research institutions have adopted policies regarding the ethical use of human embryonic tissue. If these regulations, policies, or restrictions have the effect of limiting the scope of research or other activities we can conduct using stem cells, our ability to develop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product candidates may be significantly impaired, which could have a material adverse effect on our business.</w:t>
      </w:r>
    </w:p>
    <w:p>
      <w:pPr>
        <w:spacing w:after="0" w:line="192" w:lineRule="exact"/>
        <w:rPr>
          <w:sz w:val="20"/>
          <w:szCs w:val="20"/>
          <w:color w:val="auto"/>
        </w:rPr>
      </w:pPr>
    </w:p>
    <w:p>
      <w:pPr>
        <w:ind w:right="40" w:firstLine="490"/>
        <w:spacing w:after="0" w:line="235" w:lineRule="auto"/>
        <w:rPr>
          <w:sz w:val="20"/>
          <w:szCs w:val="20"/>
          <w:color w:val="auto"/>
        </w:rPr>
      </w:pPr>
      <w:r>
        <w:rPr>
          <w:rFonts w:ascii="Times New Roman" w:cs="Times New Roman" w:eastAsia="Times New Roman" w:hAnsi="Times New Roman"/>
          <w:sz w:val="20"/>
          <w:szCs w:val="20"/>
          <w:color w:val="231F20"/>
        </w:rPr>
        <w:t>Additionally, the use of stem cells generally, and ESCs, in particular, has social, legal, and ethical implications. Certain political and religious groups continue to voice opposition to the use of human stem cells in drug research, development, and manufacturing. Adverse publicity due to ethical and social controversies surrounding the use of stem cells could lead to negative public opinion, difficulties enrolling patients in our clinical trials, increased regulation, and stricter policies regarding the use of such cells, which could harm our business and may limit market acceptance of any of our product candidates that may receive regulatory approval. In addition, clinical experience with stem cells, including iPSCs and ESCs, is limited. We are not aware of any products utilizing iPSCs or ESCs as a starting material that have received marketing approval from the FDA or a comparable foreign regulatory authority. Therefore, patients in our clinical trials may experience unexpected side effects, and we may experience unexpected regulatory delays prior to or, if approval were to be granted, after regulatory approval.</w:t>
      </w:r>
    </w:p>
    <w:p>
      <w:pPr>
        <w:spacing w:after="0" w:line="201" w:lineRule="exact"/>
        <w:rPr>
          <w:sz w:val="20"/>
          <w:szCs w:val="20"/>
          <w:color w:val="auto"/>
        </w:rPr>
      </w:pPr>
    </w:p>
    <w:p>
      <w:pPr>
        <w:ind w:right="80" w:firstLine="490"/>
        <w:spacing w:after="0" w:line="236" w:lineRule="auto"/>
        <w:rPr>
          <w:sz w:val="20"/>
          <w:szCs w:val="20"/>
          <w:color w:val="auto"/>
        </w:rPr>
      </w:pPr>
      <w:r>
        <w:rPr>
          <w:rFonts w:ascii="Times New Roman" w:cs="Times New Roman" w:eastAsia="Times New Roman" w:hAnsi="Times New Roman"/>
          <w:sz w:val="20"/>
          <w:szCs w:val="20"/>
          <w:color w:val="231F20"/>
        </w:rPr>
        <w:t>Furthermore, manufacturing and development of our stem cell-derived product candidates will require that we obtain suitable donor material from eligible and qualified human donors. If we are unable to obtain sufficient quantities of suitable donor material, or if we are unable to obtain such material in a timely manner, we may experience delays in manufacturing such product candidates, which would harm our ability to conduct clinical trials for or to commercialize these product candidates. Moreover, if the consent, authorization, or process for the donation and use of those materials is not obtained or conducted in accordance with applicable legal, ethical, and regulatory requirements, we could face delays in the clinical testing and approval of these product candidates, or, potentially, we could face claims by such human donors or regulatory authorities, which could expose us to damages and reputational harm.</w:t>
      </w:r>
    </w:p>
    <w:p>
      <w:pPr>
        <w:spacing w:after="0" w:line="31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Negative public opinion and increased regulatory scrutiny of research and therapies involving gene editing or other ex vivo or in vivo cell engineering technologies may damage public perception of our product candidates or adversely affect our ability to conduct our business or obtain regulatory approvals for our product candidates.</w:t>
      </w:r>
    </w:p>
    <w:p>
      <w:pPr>
        <w:spacing w:after="0" w:line="7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Certain aspects of our cell engineering platforms rely on the ability to modify the genome, including by editing genes. Public perception may be influenced by claims that genome modification is unsafe, and products using or incorporating genome modification may not gain the acceptance of the public or the medical community. Similarly, general perceptions of products relying on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i w:val="1"/>
          <w:iCs w:val="1"/>
          <w:color w:val="231F20"/>
        </w:rPr>
        <w:t xml:space="preserve">in vivo </w:t>
      </w:r>
      <w:r>
        <w:rPr>
          <w:rFonts w:ascii="Times New Roman" w:cs="Times New Roman" w:eastAsia="Times New Roman" w:hAnsi="Times New Roman"/>
          <w:sz w:val="20"/>
          <w:szCs w:val="20"/>
          <w:color w:val="231F20"/>
        </w:rPr>
        <w:t>cell engineering techniques may be impacted by developments within the research community as well as across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pharmaceutical and biotechnology industries, including those affecting or related to other companies, including those developing products that are similar or within adjacent fields or that are being developed in the same indications. Negative perceptions of genome modification, including gene editing, or of cell or gene therapy products generally, may result in fewer physicians being willing to enroll patients into clinical trials of our product candidates or prescribing our treatments, reduce the willingness of patients to participate in clinical trials of our product candidates or use our treatments, or otherwise negatively impact the development of our product candidates.</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In addition, given the novel nature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technologies, governments may impose import, export, or other restrictions in order to retain control or limit the use of such technologies. Further, in order to further understand the risks of novel genome modification technologies, regulatory authorities may require us to provide additional data prior to allowing clinical testing or commercialization of product candidates that use such technologies, which may cause us to incur additional costs and delay our development plans for certain of our product candidates. Increased scrutiny, negative public opinion, more restrictive government regulations, or enhanced governmental requirements, either in the United States or internationally, would have a negative effect on our business or financial condition and may delay or impair the development and commercialization of our product candidates or demand for such product candidates.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Development and Clinical Testing of Our Product Candidates</w:t>
      </w:r>
    </w:p>
    <w:p>
      <w:pPr>
        <w:spacing w:after="0" w:line="12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Before an IND or comparable foreign submission can be submitted to the FDA or a comparable foreign regulatory authority and be cleared or otherwise become effective, which is a prerequisite for conducting clinical trials on human subjects, a product candidate must successfully progress through extensive preclinical studies, which includes preclinical laboratory testing, animal studies, and formulation studies conducted in accordance with good laboratory practices. In addition, to obtain the requisite regulatory approvals to ultimately market and sell any of our product candidates, we or any future collaborator for such product candidate must satisfy the FDA’s or a comparable foreign regulatory authority’s legal standards with respect to safety, purity, and potency, or efficacy, which</w:t>
      </w:r>
    </w:p>
    <w:p>
      <w:pPr>
        <w:sectPr>
          <w:pgSz w:w="11880" w:h="15480" w:orient="portrait"/>
          <w:cols w:equalWidth="0" w:num="1">
            <w:col w:w="10800"/>
          </w:cols>
          <w:pgMar w:left="540" w:top="743" w:right="54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800"/>
          </w:cols>
          <w:pgMar w:left="540" w:top="743" w:right="540" w:bottom="0" w:gutter="0" w:footer="0" w:header="0"/>
          <w:type w:val="continuous"/>
        </w:sectPr>
      </w:pPr>
    </w:p>
    <w:bookmarkStart w:id="78" w:name="page79"/>
    <w:bookmarkEnd w:id="78"/>
    <w:p>
      <w:pPr>
        <w:ind w:right="300"/>
        <w:spacing w:after="0" w:line="277" w:lineRule="auto"/>
        <w:rPr>
          <w:sz w:val="20"/>
          <w:szCs w:val="20"/>
          <w:color w:val="auto"/>
        </w:rPr>
      </w:pPr>
      <w:r>
        <w:rPr>
          <w:rFonts w:ascii="Times New Roman" w:cs="Times New Roman" w:eastAsia="Times New Roman" w:hAnsi="Times New Roman"/>
          <w:sz w:val="20"/>
          <w:szCs w:val="20"/>
          <w:color w:val="231F20"/>
        </w:rPr>
        <w:t>may include, among other things, demonstrating through adequate and well-controlled clinical trials that the benefits of the product candidate outweigh its known risks for the intended patient population.</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Preclinical and clinical testing is inherently unpredictable. We may obtain positive data from early research or preclinical studies involving our product candidates and technologies, but subsequently encounter unexpected or unexplained results in later preclinical or clinical studies, including due to factors unrelated to our product candidates and technologies, that may cause the relevant product candidates or technologies to be unsuitable for further development. We may also need to perform additional research and preclinical or clinical studies for various reasons, including to determine the cause of any unexpected results, including whether such results were caused by our product candidates or technologies or other factors. Any of the foregoing could delay our development timelines or prevent us from continuing further development at all.</w:t>
      </w:r>
    </w:p>
    <w:p>
      <w:pPr>
        <w:spacing w:after="0" w:line="20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Even if we obtain positive results from preclinical or clinical studies of our product candidates or technologies, success in preclinical or clinical studies does not ensure that later preclinical studies or clinical trials will be successful. A number of biotechnology and pharmaceutical companies have suffered significant setbacks in clinical trials, even after positive results in earlier preclinical or clinical studies, such as adverse findings observed while clinical trials were underway or safety or efficacy observations during clinical trials, including previously unreported adverse events, and we cannot be certain that we will not face similar setbacks. The design of a clinical trial can determine whether its results have the potential to support approval of a product, and flaws in a clinical trial’s design may not become apparent until the clinical trial is well advanced. In addition, the results of our preclinical animal studies, including our non-human primate (NHP) studies, may not be predictive of the results of subsequent clinical trials involving human subjects. Product candidates may fail to show the desired pharmacological properties or safety and efficacy traits in clinical trials despite having successfully progressed through preclinical studies or earlier clinical trials.</w:t>
      </w:r>
    </w:p>
    <w:p>
      <w:pPr>
        <w:spacing w:after="0" w:line="202"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If we fail to obtain positive results in preclinical studies or clinical trials involving any of our product candidates or technologies, the development timeline and regulatory approval and commercialization prospects for any relevant product candidate, and, correspondingly, our business and financial prospects, would be negatively impacted.</w:t>
      </w:r>
    </w:p>
    <w:p>
      <w:pPr>
        <w:spacing w:after="0" w:line="308"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Preclinical testing of our product candidates may be delayed or otherwise unsuccessful, which would harm our ability to commence and successfully complete clinical trials of, and ultimately commercialize, such product candidates.</w:t>
      </w:r>
    </w:p>
    <w:p>
      <w:pPr>
        <w:spacing w:after="0" w:line="4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Applicable laws and regulations require us to conduct preclinical testing of our product candidates in animals before initiating clinical trials involving humans, and the results and timing of such testing are uncertain. We may experience delays in or difficulty completing studies of our product candidates in animals for various reasons. For example, due to global supply chain issues caused by global geo-political, economic, and other factors beyond our control, as described elsewhere in these Risk Factors, we have experienced and may continue to experience difficulty and increased costs in accessing animal models, specifically certain NHP models, which could delay completion of our preclinical studies involving such models or harm our ability to conduct or complete such studies at all, and could limit the potential patient population for our product candidates.</w:t>
      </w:r>
    </w:p>
    <w:p>
      <w:pPr>
        <w:spacing w:after="0" w:line="200"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In addition, animal testing has been the subject of controversy and adverse publicity. Animal rights groups and others have attempted to stop animal testing by pressing for legislation and regulation and by disrupting such testing through protests and other means. To the extent these attempts are successful, our research and development activities may be interrupted or delayed, become more expensive, or both.</w:t>
      </w:r>
    </w:p>
    <w:p>
      <w:pPr>
        <w:spacing w:after="0" w:line="19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We are required to submit an IND or comparable foreign submission to the FDA or comparable foreign regulatory authorities with respect to each product candidate prior to commencing a clinical trial for such product candidate in the applicable jurisdiction. Although we plan to submit INDs for each of our current and future product candidates, we may not be able to submit future INDs in accordance with our expected timelines for various reasons, including due to:</w:t>
      </w:r>
    </w:p>
    <w:p>
      <w:pPr>
        <w:spacing w:after="0" w:line="88" w:lineRule="exact"/>
        <w:rPr>
          <w:sz w:val="20"/>
          <w:szCs w:val="20"/>
          <w:color w:val="auto"/>
        </w:rPr>
      </w:pPr>
    </w:p>
    <w:p>
      <w:pPr>
        <w:ind w:left="980" w:right="200" w:hanging="490"/>
        <w:spacing w:after="0" w:line="276"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manufacturing challenges or delays, including due to challenges associated with scaling up our manufacturing processes and developing and validating assays or otherwise meeting applicable regulatory requirements;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our IND-enabling preclinical studies; or</w:t>
      </w:r>
    </w:p>
    <w:p>
      <w:pPr>
        <w:spacing w:after="0" w:line="133" w:lineRule="exact"/>
        <w:rPr>
          <w:rFonts w:ascii="Arial" w:cs="Arial" w:eastAsia="Arial" w:hAnsi="Arial"/>
          <w:sz w:val="20"/>
          <w:szCs w:val="20"/>
          <w:color w:val="231F20"/>
        </w:rPr>
      </w:pPr>
    </w:p>
    <w:p>
      <w:pPr>
        <w:ind w:left="980" w:right="500" w:hanging="490"/>
        <w:spacing w:after="0" w:line="276"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feedback from the FDA or comparable foreign regulatory authorities that requires us to conduct additional testing or change the design of a planned clinical trial prior to submitting such IND or comparable foreign submission.</w:t>
      </w:r>
    </w:p>
    <w:p>
      <w:pPr>
        <w:spacing w:after="0" w:line="17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Moreover, we cannot guarantee that submission of an IND or comparable foreign submission for a product candidate will result in the FDA or comparable foreign regulatory authorities allowing clinical trials of that product candidate to commence in accordance with our timelines or expectations or at all, including, for example, due to delays in review or approval timelines caused by disruptions and other factors impacting the FDA or comparable foreign regulatory authorities, or that, once begun, issues will not arise that require suspension or termination of such clinical trials. For example, the FDA or a comparable foreign regulatory authority may</w:t>
      </w:r>
    </w:p>
    <w:p>
      <w:pPr>
        <w:sectPr>
          <w:pgSz w:w="11880" w:h="15480" w:orient="portrait"/>
          <w:cols w:equalWidth="0" w:num="1">
            <w:col w:w="10800"/>
          </w:cols>
          <w:pgMar w:left="540" w:top="750" w:right="54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800"/>
          </w:cols>
          <w:pgMar w:left="540" w:top="750" w:right="540" w:bottom="0" w:gutter="0" w:footer="0" w:header="0"/>
          <w:type w:val="continuous"/>
        </w:sectPr>
      </w:pPr>
    </w:p>
    <w:bookmarkStart w:id="79" w:name="page80"/>
    <w:bookmarkEnd w:id="79"/>
    <w:p>
      <w:pPr>
        <w:ind w:right="160"/>
        <w:spacing w:after="0" w:line="252" w:lineRule="auto"/>
        <w:rPr>
          <w:sz w:val="20"/>
          <w:szCs w:val="20"/>
          <w:color w:val="auto"/>
        </w:rPr>
      </w:pPr>
      <w:r>
        <w:rPr>
          <w:rFonts w:ascii="Times New Roman" w:cs="Times New Roman" w:eastAsia="Times New Roman" w:hAnsi="Times New Roman"/>
          <w:sz w:val="20"/>
          <w:szCs w:val="20"/>
          <w:color w:val="231F20"/>
        </w:rPr>
        <w:t>accept an IND or comparable foreign submission for a product candidate but place clinical trials of such product candidate on hold pending the results of additional testing or the development of additional assays, or may otherwise refuse or terminate the applicable submission. Further, because legal and regulatory requirements for conducting clinical trials vary across jurisdictions, our receipt of authorization to conduct clinical trials in one jurisdiction does not guarantee such authorization will be granted in other jurisdictions.</w:t>
      </w:r>
    </w:p>
    <w:p>
      <w:pPr>
        <w:spacing w:after="0" w:line="19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In addition, such legal and regulatory requirements may change over time, including in a manner that could cause us to incur delays or additional expense in order to comply. For example, the regulatory landscape related to clinical trials in the European Union (EU) continues to evolve. The EU Clinical Trials Regulation (CTR), which was adopted in April 2014 and repealed the EU Clinical Trials Directive, became applicable on January 31, 2022. Unlike the EU Clinical Trials Directive, which required a separate clinical trial application (CTA) to be submitted to both the competent national health authority and an independent ethics committee in each EU member state in which the clinical trial will be conducted, the CTR provides for a centralized process via the Clinical Trials Information System (CTIS). The CTR allows sponsors for multi-center trials to make a single submission and obtain authorizations in multiple jurisdictions. The system routes information to all concerned member states at once, and member states then coordinate their review of the dossier in a joint assessment, with a separate assessment by each member state with respect to specific requirements related to its own territory, including ethics rules. Typically, one country is appointed rapporteur (lead assessor) with others as co-rapporteurs, producing a single assessment report for all and a harmonized decision. Once the CTA is approved, clinical studies may proceed. Following a three-year transition period, effective January 31, 2025, any trials approved under the Clinical Trials Directive that continue running must comply with the CTR, and their sponsors must enter information regarding the trials in the CTIS. Compliance with the CTR requirements by us and our service providers, such as CROs, may impact our development plans. For example, because the CTR requires coordination of application review and processing across multiple member states, our ability to commence clinical trials in accordance with our timelines could be delayed. Further, the United Kingdom (UK) withdrew from the EU in 2020, and uncertainty remains as to whether and to what extent certain UK laws and regulations will be aligned with those of the EU, including the CTR, which does not apply in the UK. Local requirements in the UK and the EU have diverged and may further diverge in the future, which could impact any UK clinical and development activities we may conduct. For example, significant updates to the UK clinical trials regulations are expected to come into force in April 2026. In addition, clinical trial submissions in the UK must be separate from those submitted to EU member states, adding further complexity, cost, and potential risk to any clinical and development activity in the UK.</w:t>
      </w:r>
    </w:p>
    <w:p>
      <w:pPr>
        <w:spacing w:after="0" w:line="21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If we are unable to satisfy applicable legal or regulatory requirements or standards for an IND or comparable foreign submission, or experience delays in doing so, clinical development of our product candidates may be delayed or we may be unable to execute clinical trials of the applicable product candidate in the relevant jurisdiction. For example, we may decide not to submit an IND or comparable foreign submission in certain jurisdictions due to applicable legal or regulatory requirements in such jurisdiction, including based on future changes to such requirements. Additionally, even if regulatory authorities agree with the design and implementation of the clinical trials set forth in an IND or a comparable foreign submission, we cannot guarantee that such regulatory authorities will not change their requirements in the future, which could require us to make costly changes to and delay the conduct of our clinical trials or require suspension or termination of such trials entirely. In addition, because the manufacturing of our product candidates is in its early stages and continues to evolve, we expect that manufacturing-related matters such as chemistry, manufacturing, and controls, including product specifications, will continue to be a focus of regulatory review of our INDs or comparable foreign submissions, which may delay or prevent our ability to proceed with the relevant clinical trials. These considerations also apply to new clinical trials we may submit as amendments to existing INDs or comparable foreign submissions.</w:t>
      </w:r>
    </w:p>
    <w:p>
      <w:pPr>
        <w:spacing w:after="0" w:line="3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p>
    <w:p>
      <w:pPr>
        <w:spacing w:after="0" w:line="6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Clinical trials are expensive, complex, and can take many years to complete, and their outcomes are inherently uncertain and their data subject to varying interpretations and analyses. Product candidates in later-stage clinical trials may fail to produce the same results as observed in earlier trials or fail to show the desired safety and efficacy characteristics despite having progressed through preclinical studies and earlier clinical trials.</w:t>
      </w:r>
    </w:p>
    <w:p>
      <w:pPr>
        <w:spacing w:after="0" w:line="194"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do not know whether any clinical trials we may conduct will begin on time, need to be redesigned, enroll patients on time, or be completed on schedule, if at all. Clinical trials may be delayed, suspended, or terminated, or may not be able to be conducted at all, for a variety of reasons, including the following:</w:t>
      </w:r>
    </w:p>
    <w:p>
      <w:pPr>
        <w:spacing w:after="0" w:line="83" w:lineRule="exact"/>
        <w:rPr>
          <w:sz w:val="20"/>
          <w:szCs w:val="20"/>
          <w:color w:val="auto"/>
        </w:rPr>
      </w:pPr>
    </w:p>
    <w:p>
      <w:pPr>
        <w:ind w:left="980" w:hanging="490"/>
        <w:spacing w:after="0"/>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obtain regulatory authorization to commence a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obtain institutional review board (IRB) or ethics committee (EC) approval for each clinical trial site;</w:t>
      </w:r>
    </w:p>
    <w:p>
      <w:pPr>
        <w:spacing w:after="0" w:line="133" w:lineRule="exact"/>
        <w:rPr>
          <w:rFonts w:ascii="Arial" w:cs="Arial" w:eastAsia="Arial" w:hAnsi="Arial"/>
          <w:sz w:val="20"/>
          <w:szCs w:val="20"/>
          <w:color w:val="231F20"/>
        </w:rPr>
      </w:pPr>
    </w:p>
    <w:p>
      <w:pPr>
        <w:ind w:left="980" w:right="840" w:hanging="490"/>
        <w:spacing w:after="0" w:line="276" w:lineRule="auto"/>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reach agreement with prospective CROs and other service providers, clinical trial sites, or companion diagnostic development partners on acceptable terms, or at all;</w:t>
      </w:r>
    </w:p>
    <w:p>
      <w:pPr>
        <w:sectPr>
          <w:pgSz w:w="11880" w:h="15480" w:orient="portrait"/>
          <w:cols w:equalWidth="0" w:num="1">
            <w:col w:w="10780"/>
          </w:cols>
          <w:pgMar w:left="540" w:top="750" w:right="560" w:bottom="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780"/>
          </w:cols>
          <w:pgMar w:left="540" w:top="750" w:right="560" w:bottom="0" w:gutter="0" w:footer="0" w:header="0"/>
          <w:type w:val="continuous"/>
        </w:sectPr>
      </w:pPr>
    </w:p>
    <w:bookmarkStart w:id="80" w:name="page81"/>
    <w:bookmarkEnd w:id="80"/>
    <w:p>
      <w:pPr>
        <w:ind w:left="980" w:right="160" w:hanging="490"/>
        <w:spacing w:after="0" w:line="258"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 recruiting clinical trial investigators or clinical trial sites of appropriate competencies and experience, including due to pre-existing commitments or resource and other infrastructure constraints, including resource allocation to other clinical trials, such as those of our competitors;</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inability to timely manufacture sufficient quantities of a product candidate for use in clinical trials;</w:t>
      </w:r>
    </w:p>
    <w:p>
      <w:pPr>
        <w:spacing w:after="0" w:line="133" w:lineRule="exact"/>
        <w:rPr>
          <w:rFonts w:ascii="Arial" w:cs="Arial" w:eastAsia="Arial" w:hAnsi="Arial"/>
          <w:sz w:val="20"/>
          <w:szCs w:val="20"/>
          <w:color w:val="231F20"/>
        </w:rPr>
      </w:pPr>
    </w:p>
    <w:p>
      <w:pPr>
        <w:ind w:left="980" w:right="84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a product candidate to meet acceptable quality or stability standards, or failure to manufacture product candidates in accordance with cGMP and other applicable laws, regulations, and guidelines;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establishing the appropriate dosage levels in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inability to recruit, enroll, and retain suitable patients in a trial, as discussed elsewhere in these Risk Factors;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patients to complete a trial or return for post-treatment follow-up;</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in identifying the sub-populations that are the target group for a particular trial, which may delay enrollment and reduce the power of a clinical trial to detect statistically significant results;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sites deviating from trial protocol or dropping out of a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caused by the addition of new investigators or clinical trial sites or replacement of existing investigators or sites;</w:t>
      </w:r>
    </w:p>
    <w:p>
      <w:pPr>
        <w:spacing w:after="0" w:line="133"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safety, efficacy, or other concerns arising out of clinical trials involving our product candidates or technologies, including clinical trials we conduct ourselves or those sponsored or initiated by investigators (ISTs);</w:t>
      </w:r>
    </w:p>
    <w:p>
      <w:pPr>
        <w:spacing w:after="0" w:line="64" w:lineRule="exact"/>
        <w:rPr>
          <w:rFonts w:ascii="Arial" w:cs="Arial" w:eastAsia="Arial" w:hAnsi="Arial"/>
          <w:sz w:val="20"/>
          <w:szCs w:val="20"/>
          <w:color w:val="231F20"/>
        </w:rPr>
      </w:pPr>
    </w:p>
    <w:p>
      <w:pPr>
        <w:ind w:left="980" w:right="140" w:hanging="490"/>
        <w:spacing w:after="0" w:line="24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events arising during the course of a clinical trial, such as safety or tolerability concerns relating to the relevant product candidate, that could cause us or governmental authorities, as applicable, to suspend or terminate a clinical trial or program or impose a clinical hold, including if participants are being exposed to unacceptable health or safety risks or experiencing undesirable side effects or other adverse events, there are other unfavorable characteristics of the product candidate, or regulators deem our product candidate to have the potential for comparable undesirable side effects or risks to those of other product candidates, including those under development by us or third parties, due to compositional, biologic, mechanistic, sourcing, or other similarities;</w:t>
      </w:r>
    </w:p>
    <w:p>
      <w:pPr>
        <w:spacing w:after="0" w:line="93"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of third-party contractors to comply with regulatory requirements or meet their contractual obligations in a timely manner or at all;</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regulatory requirements, policies, and guidelines;</w:t>
      </w:r>
    </w:p>
    <w:p>
      <w:pPr>
        <w:spacing w:after="0" w:line="133"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treatment landscape for our target indications that may make it more difficult to initiate or recruit patients for our clinical trials in certain jurisdictions or may make our product candidates no longer relevant;</w:t>
      </w:r>
    </w:p>
    <w:p>
      <w:pPr>
        <w:spacing w:after="0" w:line="64"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claims that the product candidate being tested infringes third-party intellectual property rights, including any resulting injunctions that may prevent further use of such product candidates and interfere with the progress of the trial; and</w:t>
      </w:r>
    </w:p>
    <w:p>
      <w:pPr>
        <w:spacing w:after="0" w:line="64" w:lineRule="exact"/>
        <w:rPr>
          <w:rFonts w:ascii="Arial" w:cs="Arial" w:eastAsia="Arial" w:hAnsi="Arial"/>
          <w:sz w:val="20"/>
          <w:szCs w:val="20"/>
          <w:color w:val="231F20"/>
        </w:rPr>
      </w:pPr>
    </w:p>
    <w:p>
      <w:pPr>
        <w:ind w:left="980" w:right="680" w:hanging="490"/>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interruptions resulting from geo-political actions, including war and terrorism, natural disasters including earthquakes, typhoons, floods, and fires, or disease.</w:t>
      </w:r>
    </w:p>
    <w:p>
      <w:pPr>
        <w:spacing w:after="0" w:line="17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Clinical trials must be conducted in accordance with the FDA’s and comparable foreign regulatory authorities’ legal requirements, regulations, and guidelines and are subject to oversight by these governmental authorities and IRBs or ECs of the medical institutions where the clinical trials are conducted. We could encounter delays if a clinical trial is suspended or terminated by us, by the IRBs or ECs of the institutions at which such trial is being conducted, by the Data Review Committee or Data Safety Monitoring Board for such trial, or by the FDA or comparable foreign regulatory authorities. Such authorities may impose such a suspension or termination, including following an inspection of clinical trial operations or a clinical trial site, for various reasons, including failure to conduct the clinical trial in accordance with regulatory requirements or our clinical protocols, unforeseen safety issues or adverse side effects, failure to demonstrate a benefit from use of the product candidate being tested, or changes in governmental regulations or administrative actions.</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addition, the complexity and novelty of certain product candidates, the clinical trial design, and the indications for which such product candidates are being developed, as well as the combination of these factors, could negatively affect our ability to successfully execute and complete clinical trials of such product candidates in accordance with our timelines. For example, clinical trials involving certain indications, such as autoimmune diseases, may require the involvement and alignment of medical professionals across various specialties. Additionally, we may evaluate certain of our product candidates in multiple indications and across a broad range of diseases in a single clinical trial. Because these diseases can vary significantly, doing so may introduce additional complexities and challenges with executing our clinical trials, any of which could increase the time and expense required to commence and complete the applicable trial. Further, to the extent we develop our product candidates for multiple indications, the occurrence of any potential</w:t>
      </w:r>
    </w:p>
    <w:p>
      <w:pPr>
        <w:sectPr>
          <w:pgSz w:w="11880" w:h="15480" w:orient="portrait"/>
          <w:cols w:equalWidth="0" w:num="1">
            <w:col w:w="10800"/>
          </w:cols>
          <w:pgMar w:left="540" w:top="764" w:right="540" w:bottom="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800"/>
          </w:cols>
          <w:pgMar w:left="540" w:top="764" w:right="540" w:bottom="0" w:gutter="0" w:footer="0" w:header="0"/>
          <w:type w:val="continuous"/>
        </w:sectPr>
      </w:pPr>
    </w:p>
    <w:bookmarkStart w:id="81" w:name="page82"/>
    <w:bookmarkEnd w:id="81"/>
    <w:p>
      <w:pPr>
        <w:ind w:right="40"/>
        <w:spacing w:after="0" w:line="243" w:lineRule="auto"/>
        <w:rPr>
          <w:sz w:val="20"/>
          <w:szCs w:val="20"/>
          <w:color w:val="auto"/>
        </w:rPr>
      </w:pPr>
      <w:r>
        <w:rPr>
          <w:rFonts w:ascii="Times New Roman" w:cs="Times New Roman" w:eastAsia="Times New Roman" w:hAnsi="Times New Roman"/>
          <w:sz w:val="20"/>
          <w:szCs w:val="20"/>
          <w:color w:val="231F20"/>
        </w:rPr>
        <w:t>safety issues or significant side effects with respect to a particular indication or study could negatively affect the development of such product candidate in all indications. In addition, we cannot guarantee that any positive safety or other results we observe in a certain indication will also be observed in any other indication. We and third parties involved in our clinical trials may not have sufficient resources to adequately address such complexities in accordance with our timelines or at all. If we experience delays in completing, or are required to terminate, any clinical trial of our product candidates, the commercial prospects of the relevant product candidates will be harmed, and our ability to generate product revenues from these product candidates, if at all, will be delayed. In addition, any delays in completing or inability to complete our clinical trials will increase our costs and delay or jeopardize our ability to obtain regulatory approval for the relevant product candidate, commence product sales, and generate revenues. Significant clinical trial delays could also allow our competitors to bring products to market before we do or shorten any periods during which we have the exclusive right to commercialize our product candidates, which may impair our ability to commercialize our product candidates and harm our business and results of operations.</w:t>
      </w:r>
    </w:p>
    <w:p>
      <w:pPr>
        <w:spacing w:after="0" w:line="20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Furthermore, as described elsewhere in these Risk Factors, we have relied and will continue to rely on third parties that are responsible for executing or supporting our clinical trials, such as CROs and clinical trial sites, including principal investigators, and to the extent they fail to timely and properly perform their obligations, we may experience program delays, incur additional costs, or both, which may harm our business. In addition, we may experience delays and incur additional costs with respect to any clinical trials that we conduct in countries outside the United States, including as a result of increased shipment and distribution costs, compliance with additional or different regulatory requirements, and the engagement of non-United States-based CROs or other third parties, and may also be exposed to various other risks, including those associated with clinical investigators who are unknown to the FDA, transfers and use of data across jurisdictions, and different standards of diagnosis, screening, and medical care.</w:t>
      </w:r>
    </w:p>
    <w:p>
      <w:pPr>
        <w:spacing w:after="0" w:line="3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will depend on timely and successful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68"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231F20"/>
        </w:rPr>
        <w:t>Successful and timely initiation and completion of clinical trials will require that we timely enroll and retain a sufficient number of patients. Any clinical trials we conduct may be subject to delays for a variety of reasons, including as a result of patient enrollment taking longer than anticipated, patient withdrawal, or the occurrence of adverse events. These types of developments could cause us to delay the trial or halt further development of the relevant product candidate.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Patient enrollment and retention in clinical trials depend on many factors, including:</w:t>
      </w:r>
    </w:p>
    <w:p>
      <w:pPr>
        <w:spacing w:after="0" w:line="134" w:lineRule="exact"/>
        <w:rPr>
          <w:sz w:val="20"/>
          <w:szCs w:val="20"/>
          <w:color w:val="auto"/>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and nature of the patient population;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severity of the disease under investigation, including patients’ prior lines of therapy and treatment;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eligibility and exclusion criteria for the trial;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location of clinical trial sites;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proximity of patients to clinical sites;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design of the clinical protocol;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obtain and maintain patient consents;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with other sponsors or clinical trials for clinical trial sites or patients;</w:t>
      </w:r>
    </w:p>
    <w:p>
      <w:pPr>
        <w:spacing w:after="0" w:line="133" w:lineRule="exact"/>
        <w:rPr>
          <w:rFonts w:ascii="Arial" w:cs="Arial" w:eastAsia="Arial" w:hAnsi="Arial"/>
          <w:sz w:val="20"/>
          <w:szCs w:val="20"/>
          <w:color w:val="231F20"/>
        </w:rPr>
      </w:pPr>
    </w:p>
    <w:p>
      <w:pPr>
        <w:ind w:left="980" w:right="120" w:hanging="490"/>
        <w:spacing w:after="0" w:line="258"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perceived risks and benefits of the product candidate under evaluation, including risks and benefits associated with other product candidates, including those under development by us or third parties, that may be perceived to be similar to our product candidates due to compositional, biologic, mechanistic, sourcing, or other similarities;</w:t>
      </w:r>
    </w:p>
    <w:p>
      <w:pPr>
        <w:spacing w:after="0" w:line="81"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recruit and availability of clinical trial investigators and sites with the appropriate competencies, experience, and resources;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enrolled patients will drop out of the trial before administration of the product candidate or trial completion;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patients resulting from the impact of any pandemic, epidemic, or disease outbreak;</w:t>
      </w:r>
    </w:p>
    <w:p>
      <w:pPr>
        <w:spacing w:after="0" w:line="133"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and clinicians’ and patients’ satisfaction with, existing and new drugs approved for the indication the clinical trial is investigating; and</w:t>
      </w:r>
    </w:p>
    <w:p>
      <w:pPr>
        <w:spacing w:after="0" w:line="64" w:lineRule="exact"/>
        <w:rPr>
          <w:rFonts w:ascii="Arial" w:cs="Arial" w:eastAsia="Arial" w:hAnsi="Arial"/>
          <w:sz w:val="20"/>
          <w:szCs w:val="20"/>
          <w:color w:val="231F20"/>
        </w:rPr>
      </w:pPr>
    </w:p>
    <w:p>
      <w:pPr>
        <w:ind w:left="980" w:right="260" w:hanging="490"/>
        <w:spacing w:after="0" w:line="258"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clinicians’ and patients’ perceptions as to the potential advantages of the product candidate being studied in relation to other available therapies, including any new therapies that may be approved for the indications the clinical trial is investigating or the approved label expansion of an existing therapy into the indication the clinical trial is investigating.</w:t>
      </w:r>
    </w:p>
    <w:p>
      <w:pPr>
        <w:sectPr>
          <w:pgSz w:w="11880" w:h="15480" w:orient="portrait"/>
          <w:cols w:equalWidth="0" w:num="1">
            <w:col w:w="10800"/>
          </w:cols>
          <w:pgMar w:left="540" w:top="750" w:right="540" w:bottom="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800"/>
          </w:cols>
          <w:pgMar w:left="540" w:top="750" w:right="540" w:bottom="0" w:gutter="0" w:footer="0" w:header="0"/>
          <w:type w:val="continuous"/>
        </w:sectPr>
      </w:pPr>
    </w:p>
    <w:bookmarkStart w:id="82" w:name="page83"/>
    <w:bookmarkEnd w:id="82"/>
    <w:p>
      <w:pPr>
        <w:ind w:firstLine="490"/>
        <w:spacing w:after="0" w:line="258" w:lineRule="auto"/>
        <w:rPr>
          <w:sz w:val="20"/>
          <w:szCs w:val="20"/>
          <w:color w:val="auto"/>
        </w:rPr>
      </w:pPr>
      <w:r>
        <w:rPr>
          <w:rFonts w:ascii="Times New Roman" w:cs="Times New Roman" w:eastAsia="Times New Roman" w:hAnsi="Times New Roman"/>
          <w:sz w:val="19"/>
          <w:szCs w:val="19"/>
          <w:color w:val="231F20"/>
        </w:rPr>
        <w:t>In particular, our clinical trials will compete with other clinical trials that are in the same therapeutic areas as our product candidates. In addition, because the number of qualified clinical investigators and clinical trial sites is limited, we expect to conduct at least some of our clinical trials at the same sites as those used by our competitors. Competition with other clinical trials may reduce the number and types of patients available to participate in our trials, as some patients who might have opted to enroll in our trials may instead opt to enroll in a trial being conducted by one of our competitors. Moreover, enrolling patients in clinical trials for diseases for which there is an approved standard of care is challenging, as patients will first receive the applicable standard of care, and many patients who respond positively to the standard of care do not enroll in clinical trials. In addition, although patients who fail to respond positively to the standard of care treatment may be eligible for clinical trials of our product candidates, treatment with prior regimens may render our product candidates less effective in clinical trials. As a result, the number of eligible patients who have the potential to benefit from our product candidates could be limited, which could extend development timelines or increase costs for our programs.</w:t>
      </w:r>
    </w:p>
    <w:p>
      <w:pPr>
        <w:spacing w:after="0" w:line="191"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circumstances described above and elsewhere in these Risk Factors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to commence product sales and generate revenue for the relevant product candidate. In addition, some of the factors that may cause, or lead to, a delay in the commencement or completion of clinical trials may also ultimately lead to the denial of regulatory approval of our product candidates.</w:t>
      </w:r>
    </w:p>
    <w:p>
      <w:pPr>
        <w:spacing w:after="0" w:line="32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Clinical trials may fail to demonstrate that our product candidates, including any future product candidates, or technologies used in or used to develop such product candidates, meet the FDA’s or a comparable foreign regulatory authority’s requirements with respect to safety, purity, and potency, or efficacy, which would prevent, delay, or limit the scope of regulatory approval and commercialization of such product candidates.</w:t>
      </w:r>
    </w:p>
    <w:p>
      <w:pPr>
        <w:spacing w:after="0" w:line="7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To obtain the requisite regulatory approvals to market and sell any of our current or future product candidates, we or our potential future collaborators must demonstrate with substantial evidence from adequate and well-controlled clinical trials of the product candidate, and to the satisfaction of the FDA or comparable foreign regulatory authorities, that such product candidate meets the FDA’s or such comparable foreign regulatory authorities’ legal standards with respect to safety, purity, and potency, or efficacy, which may include, among other things, demonstrating through adequate and well-controlled clinical trials that the benefits of the product candidate outweigh its known risks for the intended patient population.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Clinical trials of our product candidates or product candidates developed using our technologies (including those conducted by third parties, such as in the case of ISTs) may not demonstrate that such product candidates or technologies have efficacy and safety profiles necessary to support further development and regulatory approval. Safety or efficacy results for a particular clinical trial, or between different clinical trials of the same product candidate, can vary significantly due to numerous factors, including differences in the size and type of the patient populations, variety of patients and disease types within a trial, changes in and adherence to the clinical trial protocols and trial procedures, and the rate of dropout among clinical trial participants. If the results of clinical trials are inconclusive with respect to the efficacy of our product candidates or those developed using our technologies, if we do not meet the clinical endpoints with statistical and clinically meaningful significance, or if there are safety concerns associated with our product candidates or technologies, we may experience delays in obtaining marketing approval, or we may not obtain approval at all. Additionally, any safety concerns observed in any clinical trial of one of our product candidates, or those developed using our technologies, in our targeted indications could limit the prospects for regulatory approval of such product candidate in those and other indications or the prospects of other product candidates we may develop that are perceived to have the potential for similar safety concerns.</w:t>
      </w:r>
    </w:p>
    <w:p>
      <w:pPr>
        <w:spacing w:after="0" w:line="203"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Additionally, some of our trials may be open-label trials in which the patient and/or investigator know whether the patient is receiving the investigational product candidate. Data generated from open-label clinical trials may exaggerate any therapeutic effect, as patients and/or investigators are aware when a patient has received the experimental treatment, which may cause investigators to interpret the information of the treated group more favorably. Therefore, positive results observed in open-label trials may not be replicated in later controlled trials.</w:t>
      </w:r>
    </w:p>
    <w:p>
      <w:pPr>
        <w:spacing w:after="0" w:line="197"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231F20"/>
        </w:rPr>
        <w:t>Even if we or our collaborators (or other third parties, in the case of ISTs) successfully complete any clinical trials, clinical data are often susceptible to varying interpretations and analyses. We cannot guarantee that the FDA or comparable foreign regulatory</w:t>
      </w:r>
    </w:p>
    <w:p>
      <w:pPr>
        <w:sectPr>
          <w:pgSz w:w="11880" w:h="15480" w:orient="portrait"/>
          <w:cols w:equalWidth="0" w:num="1">
            <w:col w:w="10780"/>
          </w:cols>
          <w:pgMar w:left="540" w:top="750" w:right="560" w:bottom="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780"/>
          </w:cols>
          <w:pgMar w:left="540" w:top="750" w:right="560" w:bottom="0" w:gutter="0" w:footer="0" w:header="0"/>
          <w:type w:val="continuous"/>
        </w:sectPr>
      </w:pPr>
    </w:p>
    <w:bookmarkStart w:id="83" w:name="page84"/>
    <w:bookmarkEnd w:id="83"/>
    <w:p>
      <w:pPr>
        <w:spacing w:after="0" w:line="243" w:lineRule="auto"/>
        <w:rPr>
          <w:sz w:val="20"/>
          <w:szCs w:val="20"/>
          <w:color w:val="auto"/>
        </w:rPr>
      </w:pPr>
      <w:r>
        <w:rPr>
          <w:rFonts w:ascii="Times New Roman" w:cs="Times New Roman" w:eastAsia="Times New Roman" w:hAnsi="Times New Roman"/>
          <w:sz w:val="20"/>
          <w:szCs w:val="20"/>
          <w:color w:val="231F20"/>
        </w:rPr>
        <w:t>authorities will interpret the results as we do, and more trials could be required before we submit our product candidates for approval. Even if positive results are observed in clinical trials, we cannot guarantee that the FDA or comparable foreign regulatory authorities will view our product candidates as having efficacy. Further, the FDA or comparable foreign regulatory authorities may not agree with our manufacturing strategy or may not find comparability between our clinical trial product candidates and proposed commercial product candidates, which may result in regulatory delays or a need to perform additional clinical studies. Moreover, clinical trial results that may be acceptable to support approval of a certain scope in one jurisdiction may be deemed inadequate to support regulatory approval, or may only be deemed sufficient to support a narrower scope of approval, in other jurisdictions. If the FDA or comparable foreign regulatory authorities determine that the results of clinical trials of our product candidates are not adequate to support approval of a marketing application, we may experience delays in obtaining, or fail to obtain, approval of our product candidates, or we may be required to expend significant additional resources, which may not be available to us, to conduct additional trials in support of potential approval of our product candidates. Even if regulatory approval is obtained for a product candidate, the terms of such approval may limit the scope and use of the specific product candidate, which may also limit its commercial potential.</w:t>
      </w:r>
    </w:p>
    <w:p>
      <w:pPr>
        <w:spacing w:after="0" w:line="326"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spacing w:after="0" w:line="68"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231F20"/>
        </w:rPr>
        <w:t>Our product candidates may cause serious adverse, undesirable, or unacceptable side effects, which could cause us or regulatory authorities to interrupt, delay, or halt our future clinical trials and could result in a more restrictive label or the delay or denial of regulatory approval by the FDA or comparable foreign authorities. We do not currently, and in the future may not, have sufficient clinical data or other information to enable us to fully anticipate the side effects of our product candidates. Accordingly, we may observe unexpected side effects or higher levels of expected side effects in clinical trials of our product candidates, including adverse events known to occur in the same classes of therapeutics, which may include infusion reaction, cytokine release syndrome, graft-versus-host disease, neurotoxicities, severe infection, and certain cancers.</w:t>
      </w:r>
    </w:p>
    <w:p>
      <w:pPr>
        <w:spacing w:after="0" w:line="204"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Results of our clinical trials could reveal a high and unacceptable severity and prevalence of these or other side effects associated with our product candidates. In such an event, clinical trials of such product candidates could be suspended or terminated, and the FDA or comparable foreign regulatory authorities could order us to cease further development of or deny approval of such product candidates for any or all targeted indications. In addition, the FDA or comparable foreign regulatory authorities may more closely scrutinize any side effects or safety concerns associated with our product candidates in the context of the potential benefits observed in diseases that are not immediately life-threatening, such as certain autoimmune diseases, which could harm our ability to develop or obtain regulatory approval for applicable product candidate in such diseases. Moreover, the occurrence of such side effects could negatively affect our ability to recruit and enroll patients in our clinical trials or the ability of enrolled patients to complete the clinical trials, or result in product liability claims. For example, patients with diseases that are not immediately life-threatening, including certain autoimmune diseases, and their physicians may be less likely to enroll or recommend enrollment in clinical trials of our product candidates if there is a risk of certain side effects or safety concerns and may be more likely to cease their participation in such clinical trials if they experience certain side effects. Similar events may occur if it is determined that there are side effects or safety concerns associated with other products or product candidates that are, or are perceived to be, similar to ours. Any of these occurrences could significantly harm our business, financial condition, and prospects.</w:t>
      </w:r>
    </w:p>
    <w:p>
      <w:pPr>
        <w:spacing w:after="0" w:line="21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Further, clinical trials by their nature involve only a sample of the potential patient population. Because our clinical trials will involve only a limited number of patients and limited duration of exposure to our product candidates, rare and severe side effects of our product candidates may not be apparent during early clinical trials and may only be uncovered once a significantly larger number of patients have been exposed to the product candidate, including during later-stage clinical trials or following commercialization, or when longer-term data is available. As such, even if applicable regulatory authorities initially determine that our product candidates have an acceptable safety profile for their intended use in humans, they may later prove to cause serious side effects in patients that we were unable to observe or predict during their clinical development.</w:t>
      </w:r>
    </w:p>
    <w:p>
      <w:pPr>
        <w:spacing w:after="0" w:line="200"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231F20"/>
        </w:rPr>
        <w:t>In the event that any of our product candidates receives regulatory approval and we or others later determine that such product may cause undesirable or unacceptable side effects, a number of potentially significant negative consequences could result, including:</w:t>
      </w:r>
    </w:p>
    <w:p>
      <w:pPr>
        <w:spacing w:after="0" w:line="39" w:lineRule="exact"/>
        <w:rPr>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withdraw or limit approvals of such product and require us to take such product off the market;</w:t>
      </w:r>
    </w:p>
    <w:p>
      <w:pPr>
        <w:spacing w:after="0" w:line="133" w:lineRule="exact"/>
        <w:rPr>
          <w:rFonts w:ascii="Arial" w:cs="Arial" w:eastAsia="Arial" w:hAnsi="Arial"/>
          <w:sz w:val="20"/>
          <w:szCs w:val="20"/>
          <w:color w:val="231F20"/>
        </w:rPr>
      </w:pPr>
    </w:p>
    <w:p>
      <w:pPr>
        <w:ind w:left="980" w:right="60" w:hanging="490"/>
        <w:spacing w:after="0" w:line="258"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require the addition of labeling statements, specific warnings, or a contraindication or field alerts to physicians and pharmacies, or issue other communications containing warnings or other safety information about the product;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800"/>
          </w:cols>
          <w:pgMar w:left="540" w:top="750" w:right="540" w:bottom="0" w:gutter="0" w:footer="0" w:header="0"/>
          <w:type w:val="continuous"/>
        </w:sectPr>
      </w:pPr>
    </w:p>
    <w:bookmarkStart w:id="84" w:name="page85"/>
    <w:bookmarkEnd w:id="84"/>
    <w:p>
      <w:pPr>
        <w:ind w:left="980" w:right="80" w:hanging="490"/>
        <w:spacing w:after="0" w:line="258"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81"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required to change the therapeutic dose or the way the product is administered, conduct additional clinical trials, or change the labeling of the product;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limitations on how we may promote or manufacture the product;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the product may decrease significantly;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litigation or product liability claims;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reputation may suffer.</w:t>
      </w:r>
    </w:p>
    <w:p>
      <w:pPr>
        <w:spacing w:after="0" w:line="239"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31F20"/>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spacing w:after="0" w:line="3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Interim, topline, or preliminary data from our preclinical studies or clinical trials that we may announce or publish from time to time may change as more data become available or as we make changes to our manufacturing processes. These data are subject to audit and verification procedures that could result in material changes in the final data.</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From time to time, we may publicly disclose interim, topline, or preliminary data from our preclinical studies or clinical trials, which are based on a preliminary analysis of then-available data, and the final results and related findings and conclusions are subject to change following a more comprehensive review of the study or trial data. We also make assumptions, estimations, calculations, and conclusions as part of our analyses of data, and we may not have received or had the opportunity to fully and carefully evaluate all data at the time of our initial disclosure of data. Further, modifications or improvements to our manufacturing processes for a product candidate may result in changes to its characteristics or behavior that could cause the product candidate to perform differently and affect the results of our preclinical studies or planned or ongoing clinical trials of such product candidate, and potentially require us to conduct additional preclinical studies or clinical trials. As a result, the topline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including source data verification, that may result in the final data being materially different from the preliminary data we previously disclosed. As a result, these data should be viewed with caution until the final data are available. Similarly,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our competitors, with respect to clinical trials of their product candidates, could result in volatility in the price of our common stock.</w:t>
      </w:r>
    </w:p>
    <w:p>
      <w:pPr>
        <w:spacing w:after="0" w:line="21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Further, others, including regulatory authorities, investors, or analysts, may not accept or agree with our assumptions, estimates, calculations, conclusions, or analyses, or may interpret or weigh the importance of data, including any decisions we may make based on that data, particularly limited or preliminary data, differently than we do,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investors, or analysts, disagree with the conclusions reached, our ability to obtain approval for and commercialize our product candidates, as well as our business, operating results, prospects, and financial condition, could be harmed.</w:t>
      </w:r>
    </w:p>
    <w:p>
      <w:pPr>
        <w:spacing w:after="0" w:line="32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or technologies may be involved in ISTs, and we will have limited or no control over the conduct of such trials.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ISTs involving our product candidates or technologies pose or are subject to similar risks to those set forth elsewhere in these Risk Factors relating to clinical trials that we conduct ourselves. Although ISTs may provide us with clinical data that can inform the development strategy for our product candidates, we may have limited or no ability to control the timing, design, and conduct of such ISTs or regulatory matters with respect to such ISTs, including the submission, clearance or approval, or maintenance of any IND or comparable foreign submission required to conduct such ISTs. In addition, we may not control the data collection and reporting, including timing thereof, with respect to any ISTs, and may not control the manufacturing of the product candidate or technology to be tested in any such ISTs. A delay in the timely completion of or reporting of data from any IST, including as a result of manufacturing complications or delays, which could occur for various reasons such as the need to obtain additional licenses, delays in recruiting, enrolling, or retaining patients, or other potential issues, including those described in these Risk Factors, could have a material adverse effect on our ability to further develop our product candidates or to advance our product candidates through subsequent clinical trials.</w:t>
      </w:r>
    </w:p>
    <w:p>
      <w:pPr>
        <w:sectPr>
          <w:pgSz w:w="11880" w:h="15480" w:orient="portrait"/>
          <w:cols w:equalWidth="0" w:num="1">
            <w:col w:w="10800"/>
          </w:cols>
          <w:pgMar w:left="540" w:top="764" w:right="540" w:bottom="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800"/>
          </w:cols>
          <w:pgMar w:left="540" w:top="764" w:right="540" w:bottom="0" w:gutter="0" w:footer="0" w:header="0"/>
          <w:type w:val="continuous"/>
        </w:sectPr>
      </w:pPr>
    </w:p>
    <w:bookmarkStart w:id="85" w:name="page86"/>
    <w:bookmarkEnd w:id="85"/>
    <w:p>
      <w:pPr>
        <w:spacing w:after="0" w:line="242" w:lineRule="auto"/>
        <w:rPr>
          <w:sz w:val="20"/>
          <w:szCs w:val="20"/>
          <w:color w:val="auto"/>
        </w:rPr>
      </w:pPr>
      <w:r>
        <w:rPr>
          <w:rFonts w:ascii="Times New Roman" w:cs="Times New Roman" w:eastAsia="Times New Roman" w:hAnsi="Times New Roman"/>
          <w:sz w:val="20"/>
          <w:szCs w:val="20"/>
          <w:color w:val="231F20"/>
        </w:rPr>
        <w:t>Negative results from an IST could have a material adverse effect on our business and prospects and the perception of our product candidates and technologies. Additionally, there is a possibility that ISTs may be conducted under less rigorous clinical standards than those used in company-sponsored clinical trials. For these or other reasons, the FDA and comparable foreign regulatory authorities may more closely scrutinize the resulting data and may not view these data as providing adequate support for future clinical trials, whether sponsored by us or third parties. In addition, any potential IST could demonstrate marginal efficacy or reveal clinically relevant safety concerns that could delay the further clinical development or regulatory approval of our product candidates. Further, data from a potential IST may fail to demonstrate efficacy for various reasons, including those unrelated to our product candidates or technologies, which may negatively impact the perception of such product candidates and technologies, despite their potential for future success. To the extent that the results of any ISTs raise safety or other concerns regarding our product candidates or technologies, regulatory authorities may question the results of such ISTs or other clinical trials involving the relevant product candidate or technology. Safety concerns arising from any ISTs may cause the FDA or comparable foreign regulatory authorities to impose partial or full clinical holds on clinical trials of our product candidates, including product candidates that were developed using the same technology or manufactured using the same reagents and materials as those product candidates that are the subject of such ISTs, which could delay or prevent us from advancing our product candidates into further clinical development and require us to discontinue our development of such product candidates. The occurrence of any of the foregoing would severely harm our business and prospects.</w:t>
      </w:r>
    </w:p>
    <w:p>
      <w:pPr>
        <w:spacing w:after="0" w:line="330"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The manufacture of our product candidates is complex. We or our CDMOs may encounter difficulties in production, which could delay or entirely halt our or their ability to supply our product candidates for clinical trials or, if approved, for commercial sale.</w:t>
      </w:r>
    </w:p>
    <w:p>
      <w:pPr>
        <w:spacing w:after="0" w:line="25"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Our product candidates are considered to be biologics, and the process of manufacturing biologics is complex and requires significant expertise and capital investment, including with respect to the development of advanced manufacturing techniques and process controls. We currently rely, and expect to continue to rely, on CDMOs for the manufacture of our product candidates for clinical studies. We also anticipate that we will continue to rely on CDMOs for at least some portions of our supply chain following commercialization of any product candidates for which we may receive regulatory approval. As described elsewhere in these Risk Factors, we expect that we will continue to be required to transfer certain manufacturing processes and know-how to our CDMOs and any manufacturing facility we may operate, which is a complex process with which we have limited experience. If we experience any delays or issues with the foregoing, manufacturing of our product candidates could be delayed, and we may need to rely to a greater extent on CDMOs for the manufacture of such product candidates for longer than anticipated.</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To date, we and our CDMOs have limited experience in manufacturing of cGMP batches of our product candidates. Our CDMOs and, if we operate our own manufacturing facility, we, must comply with cGMPs and other complex regulations and guidelines applicable to the manufacturing of biologics for use in clinical trials and, if approved, commercial sale, and any inability or failure to comply with such regulations and guidelines could delay our clinical trials or prevent us from being able to commence clinical testing at all. To date, we have not scaled the manufacturing processes with respect to our product candidates for later-stage clinical trials and commercialization, and we and our CDMOs may not have sufficient capacity, resources, or capabilities to scale such manufacturing processes in accordance with our desired timelines or at all. Further, certain of our product candidates, or materials used in their manufacture, may have characteristics that present increased manufacturing complexity, necessitate longer manufacturing process timelines, or require a greater number of manufacturing runs. If we are unable to successfully scale the manufacturing process for these product candidates, including in compliance with cGMP quality requirements, or adapt such manufacturing process to meet late-stage development or commercial quality requirements, we may not be able to manufacture sufficient quantities of compliant product candidates, or manufacture them in a timely manner, which would harm our ability to clinically develop and commercialize such product candidates. In addition, the manufacturing of our product candidates, including large-scale manufacturing, may require new technologies and the development of novel processes for upstream and downstream activities, including analytical technologies, which could cause delays in the scaling of manufacturing, as well as greater costs that could negatively impact the financial viability of our product candidates. We cannot be sure that the manufacturing processes employed by us or our CDMOs or the technologies that our CDMOs incorporate into our manufacturing processes will result in viable or scalable yields of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product candidates that will have acceptable safety, purity, potency, or efficacy profiles and, if approved, meet market demand.</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biologic product candidates are susceptible to product loss or reduced manufacturing success rates at various points during the manufacturing process, including due to contamination, equipment damage or failure, including during shipment or storage, failure of equipment to operate as expected, improper installation or operation of equipment, vendor or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microbial, viral, or other contaminations are discovered in our product candidates or in the facilities in which our product candidates are manufactured, including any manufacturing facility we may operate or those of our CDMOs, such supply may have to be discarded, our products may be withdrawn from clinical trials and, if approved, the market, and such facilities may need to be closed for an extended period of time to investigate and remedy the contamination. Moreover, if the FDA or comparable foreign regulatory</w:t>
      </w:r>
    </w:p>
    <w:p>
      <w:pPr>
        <w:sectPr>
          <w:pgSz w:w="11880" w:h="15480" w:orient="portrait"/>
          <w:cols w:equalWidth="0" w:num="1">
            <w:col w:w="10800"/>
          </w:cols>
          <w:pgMar w:left="540" w:top="750" w:right="540" w:bottom="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800"/>
          </w:cols>
          <w:pgMar w:left="540" w:top="750" w:right="540" w:bottom="0" w:gutter="0" w:footer="0" w:header="0"/>
          <w:type w:val="continuous"/>
        </w:sectPr>
      </w:pPr>
    </w:p>
    <w:bookmarkStart w:id="86" w:name="page87"/>
    <w:bookmarkEnd w:id="86"/>
    <w:p>
      <w:pPr>
        <w:spacing w:after="0" w:line="247" w:lineRule="auto"/>
        <w:rPr>
          <w:sz w:val="20"/>
          <w:szCs w:val="20"/>
          <w:color w:val="auto"/>
        </w:rPr>
      </w:pPr>
      <w:r>
        <w:rPr>
          <w:rFonts w:ascii="Times New Roman" w:cs="Times New Roman" w:eastAsia="Times New Roman" w:hAnsi="Times New Roman"/>
          <w:sz w:val="20"/>
          <w:szCs w:val="20"/>
          <w:color w:val="231F20"/>
        </w:rPr>
        <w:t>authorities determine that we or our CDMOs, or our or our CDMOs’ facilities, are not in compliance with applicable laws and regulations, including cGMPs, the FDA or comparable foreign regulatory authority may not approve a biologics license application (BLA) or comparable foreign marketing authorization until the deficiencies are corrected or we replace the manufacturer in our applications with a compliant manufacturer, and we may ultimately be unable to manufacture our product candidates. The occurrence of any of these issues could delay our ability to commence or timely complete clinical development, obtain regulatory approval of, and commercialize our product candidates.</w:t>
      </w:r>
    </w:p>
    <w:p>
      <w:pPr>
        <w:spacing w:after="0" w:line="200"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We also may make changes to our manufacturing processes at various points during development, and even after commercialization, for various reasons, such as to control costs, achieve scale, improve quality, decrease processing time, or increase manufacturing success rate. Such changes carry the risk that they will not achieve their intended objectives, and any of these changes could result in changes to a product candidate’s characteristics or behavior or cause our product candidates to perform differently and affect the results of any of our then-ongoing or future preclinical studies or clinical trials, or the performance of the product, once commercialized. In certain circumstances, if we make changes to our manufacturing process for a product candidate, regulatory authorities may require us to perform comparability studies and collect additional preclinical or clinical data prior to undertaking additional clinical trials or obtaining marketing approval for or commercializing the product candidate produced with such modified process. For instance, if we make changes to our manufacturing process for a product candidate during the course of preclinical or clinical development, regulatory authorities may require us to demonstrate the comparability of the product used in preclinical studies, earlier clinical phases, or earlier portions of a trial to the product used in later clinical trials or clinical phases or later portions of a trial, as applicable. If at any point we switch to a different CDMO or supplier of reagents or materials used in the manufacturing process for a product candidate or to any manufacturing facility we may operate, including, for example, in order to ensure sufficient supply for later -stage clinical trials and potential commercialization, we will also be required to perform comparability studies in order to demonstrate comparability of the applicable product candidate, reagent, or material from the prior CDMO or supplier to that from, as applicable, the new CDMO or supplier or our manufacturing facility, and otherwise demonstrate that the relevant product candidate, reagents, or materials meet the applicable specifications. We may be unable to successfully generate comparability data, and even if we are able to generate and provide such data, regulatory authorities may disagree with the design of our comparability studies or otherwise determine that the data are insufficient to support a determination of comparability. Similarly, we may be unable to demonstrate that the relevant materials meet the applicable specifications. In such an event, we may be required to make further changes to our process or undertake additional preclinical or clinical testing, which could result in manufacturing delays and affect our ability to timely dose patients in our clinical trials, which could delay further development or commercialization of such product candidate, or we may be unable to continue development of the applicable product candidate at all.</w:t>
      </w:r>
    </w:p>
    <w:p>
      <w:pPr>
        <w:spacing w:after="0" w:line="2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Any adverse developments affecting manufacturing operations for any of our product candidates, including those for which we may obtain regulatory approval, may result in shipment delays, inventory shortages, lot failures, product withdrawals or recalls, or other supply interruptions that could negatively impact the conduct of our clinical trials or our ability to successfully commercialize any product candidates for which we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Any such issues would harm our ability to timely and successfully complete clinical trials and obtain regulatory approval of our product candidates, which could have a significant negative impact on our business, operations, and prospects.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exposed to a number of risks related to the supply chain for the materials required to manufacture our product candidates.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manufacturing of our product candidates is highly complex and requires sourcing of specialty materials. Many of the risks associated with the complex manufacturing of our final product candidates are applicable to the manufacture and supply of the raw materials required to make such product candidates. In particular, these raw materials are subject to inconsistency in yields, variability in characteristics, contamination, difficulties in scaling the production process, and defects. Similar minor deviations in the manufacturing process for these raw materials could result in supply disruption and reduced production yields for our final product candidates. In addition, we rely on third parties for the supply of these materials, which exposes us to risks associated with dependence on third parties, as described elsewhere in these Risk Factors. Further, we may use certain reagents and materials across various programs and initiatives, and any difficulties we experience with such reagents or materials, including with respect to sourcing, quality, or other factors, could have a more significant impact on our portfolio and business than if we used different reagents and materials for each of our programs and initiatives.</w:t>
      </w:r>
    </w:p>
    <w:p>
      <w:pPr>
        <w:spacing w:after="0" w:line="202"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In addition, we require many reagents, which are drug substance intermediates used in our manufacturing processes to bring about chemical or biological reactions, and other specialty raw and intermediate materials, consumables, and equipment, for our manufacturing processes and for quality control testing of our product candidates, some of which are manufactured or supplied by small companies with limited resources and experience with respect to supporting clinical or commercial biologics production. Some of these suppliers may not have the capacity or resources to support manufacturing of products under cGMP on our timelines or at all or may otherwise be ill-equipped to support our needs, including if and as we expand our manufacturing activities to support later-</w:t>
      </w:r>
    </w:p>
    <w:p>
      <w:pPr>
        <w:sectPr>
          <w:pgSz w:w="11880" w:h="15480" w:orient="portrait"/>
          <w:cols w:equalWidth="0" w:num="1">
            <w:col w:w="10800"/>
          </w:cols>
          <w:pgMar w:left="540" w:top="750" w:right="540" w:bottom="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800"/>
          </w:cols>
          <w:pgMar w:left="540" w:top="750" w:right="540" w:bottom="0" w:gutter="0" w:footer="0" w:header="0"/>
          <w:type w:val="continuous"/>
        </w:sectPr>
      </w:pPr>
    </w:p>
    <w:bookmarkStart w:id="87" w:name="page88"/>
    <w:bookmarkEnd w:id="87"/>
    <w:p>
      <w:pPr>
        <w:ind w:right="100"/>
        <w:spacing w:after="0" w:line="247" w:lineRule="auto"/>
        <w:rPr>
          <w:sz w:val="20"/>
          <w:szCs w:val="20"/>
          <w:color w:val="auto"/>
        </w:rPr>
      </w:pPr>
      <w:r>
        <w:rPr>
          <w:rFonts w:ascii="Times New Roman" w:cs="Times New Roman" w:eastAsia="Times New Roman" w:hAnsi="Times New Roman"/>
          <w:sz w:val="20"/>
          <w:szCs w:val="20"/>
          <w:color w:val="231F20"/>
        </w:rPr>
        <w:t>stage clinical trials and, for any product candidates that may receive regulatory approval, commercialization.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enter into supply contracts with them on acceptable terms or at all. Accordingly, we may experience delays in receiving key reagents, materials, consumables, and equipment to support clinical or commercial manufacturing, which could delay development and commercialization of our product candidates.</w:t>
      </w:r>
    </w:p>
    <w:p>
      <w:pPr>
        <w:spacing w:after="0" w:line="20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For some of these reagents, materials, consumables, and equipment, we and our CDMOs currently rely and may in the future rely on sole source vendors or a limited number of vendors. We may be unable to continue to source reagents, materials, consumables, or equipment from any of these vendors for various reasons, including due to regulatory actions or requirements affecting a vendor, adverse financial or other strategic developments experienced by a supplier, labor disputes or shortages, unexpected demand from other customers and supply limitations, or quality issues. Additionally, due to global geo-political, economic, and other factors beyond our control, there has been, and there are and may continue to be, a shortage of key materials, consumables, and equipment that are necessary to manufacture our product candidates, including certain consumables such as media, reagents, bags, flasks, and pipette tips, which could affect our or our CDMOs’ ability to obtain the materials, consumables, and equipment necessary to manufacture our product candidates. If any of the foregoing events were to occur, we may experience delays in manufacturing our product candidates, which would harm our ability to conduct future clinical trials and, if approved, commercialize our products and generate product revenues in a timely manner or at all.</w:t>
      </w:r>
    </w:p>
    <w:p>
      <w:pPr>
        <w:spacing w:after="0" w:line="20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Additionally, as described elsewhere in these Risk Factors, rising rates of inflation in recent years and other factors have resulted in substantial increases in the costs associated with manufacturing our product candidates, including the costs of materials, consumables, and equipment, that we are unable to offset. Given the unpredictable nature of the current economic climate, including the potential impact of tariffs, export controls, and future rates of inflation, it may be increasingly difficult for us to predict and control our future expenses, which may harm our ability to conduct our business.</w:t>
      </w:r>
    </w:p>
    <w:p>
      <w:pPr>
        <w:spacing w:after="0" w:line="197"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As we continue to develop and scale our manufacturing processes, we expect that we will need to obtain rights to and supplies of certain materials and equipment to be used as part of those processes. We may not be able to obtain rights to or sufficient quantities of such materials or equipment on commercially reasonable terms, or at all, and our inability to alter our processes in a commercially viable manner to avoid the use of such materials or equipment or find suitable substitutes would have a material adverse effect on our business. Even if we are able to alter our processes to use other materials or equipment, such a change may delay our clinical development or commercialization plans. As described elsewhere in these Risk Factors, if such a change occurs for product candidate that is already being tested in clinical trials, the change may require us to perform comparability studies, demonstrate that the new materials or equipment meet applicable specifications, and collect additional data from patients prior to undertaking more advanced clinical trials.</w:t>
      </w:r>
    </w:p>
    <w:p>
      <w:pPr>
        <w:spacing w:after="0" w:line="32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exposed to costly and damaging liability claims, either when testing our product candidates in clinical trials or at the commercial stage, and our product liability insurance may not cover all damages arising from such claims.</w:t>
      </w:r>
    </w:p>
    <w:p>
      <w:pPr>
        <w:spacing w:after="0" w:line="4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are exposed to potential product liability and professional indemnity risks that are inherent in the research, development, manufacturing, marketing, and use of pharmaceutical products. The use of our product candidates in clinical trials, and the sale of any products for which we may obtain approval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20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231F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or patients who should not use our product candidates. If any of our product candidates were to cause adverse side effects during clinical trials or after approval, we may be exposed to substantial liabilities.</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would require significant financial and management resources to defend against any product liability claims, even if we are successful in such defense. Regardless of the merits or eventual outcome, liability claims may result in decreased demand for our product candidates, negative publicity and injury to our reputation, withdrawal of clinical trial participants, investigations by regulatory authorities, costs to defend the related litigation, diversion of management’s time and our resources, substantial monetary awards to clinical trial participants or patients, product recalls, withdrawals, or labeling, marketing, or promotional restrictions, loss of revenue, exhaustion of any available insurance and our capital resources, inability to commercialize our product candidates, and a decline in our share price.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800"/>
          </w:cols>
          <w:pgMar w:left="540" w:top="750" w:right="540" w:bottom="0" w:gutter="0" w:footer="0" w:header="0"/>
          <w:type w:val="continuous"/>
        </w:sectPr>
      </w:pPr>
    </w:p>
    <w:bookmarkStart w:id="88" w:name="page89"/>
    <w:bookmarkEnd w:id="88"/>
    <w:p>
      <w:pPr>
        <w:ind w:firstLine="490"/>
        <w:spacing w:after="0" w:line="247" w:lineRule="auto"/>
        <w:rPr>
          <w:sz w:val="20"/>
          <w:szCs w:val="20"/>
          <w:color w:val="auto"/>
        </w:rPr>
      </w:pPr>
      <w:r>
        <w:rPr>
          <w:rFonts w:ascii="Times New Roman" w:cs="Times New Roman" w:eastAsia="Times New Roman" w:hAnsi="Times New Roman"/>
          <w:sz w:val="20"/>
          <w:szCs w:val="20"/>
          <w:color w:val="231F20"/>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Dependence on Third Parties</w:t>
      </w:r>
    </w:p>
    <w:p>
      <w:pPr>
        <w:spacing w:after="0" w:line="12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rely, and expect to continue to rely, on CDMOs, including third-party testing laboratories, to manufacture our product candidates, as well as materials used in the manufacturing of our product candidates, including testing of such product candidates and materials. Any failure by a CDMO to properly produce acceptable materials or product candidates for us or any failure by us or such CDMO to obtain authorization from the FDA or comparable foreign regulatory authorities or otherwise satisfy regulatory requirements with respect to such manufacturing of our product candidates may delay or impair our ability to initiate or complete our clinical trials, obtain regulatory approvals, or commercialize approved products.</w:t>
      </w:r>
    </w:p>
    <w:p>
      <w:pPr>
        <w:spacing w:after="0" w:line="80" w:lineRule="exact"/>
        <w:rPr>
          <w:sz w:val="20"/>
          <w:szCs w:val="20"/>
          <w:color w:val="auto"/>
        </w:rPr>
      </w:pPr>
    </w:p>
    <w:p>
      <w:pPr>
        <w:ind w:right="120" w:firstLine="490"/>
        <w:spacing w:after="0" w:line="241" w:lineRule="auto"/>
        <w:rPr>
          <w:sz w:val="20"/>
          <w:szCs w:val="20"/>
          <w:color w:val="auto"/>
        </w:rPr>
      </w:pPr>
      <w:r>
        <w:rPr>
          <w:rFonts w:ascii="Times New Roman" w:cs="Times New Roman" w:eastAsia="Times New Roman" w:hAnsi="Times New Roman"/>
          <w:sz w:val="20"/>
          <w:szCs w:val="20"/>
          <w:color w:val="231F20"/>
        </w:rPr>
        <w:t>We rely on CDMOs, including third-party testing laboratories, to manufacture our product candidates for use in clinical testing and expect to continue to rely on such CDMOs to manufacture at least some of our product candidates thereafter as part of our manufacturing strategy. A limited number of CDMOs specialize in or have the expertise required to manufacture our product candidates or materials used in their manufacture. Moreover, our CDMOs have limited capacity at their facilities and require commitments to secure availability well in advance of manufacturing any products or other materials. Additionally, we face competition from other biopharmaceutical companies to secure manufacturing availability at these facilities. If the CDMOs on which we rely to manufacture our product candidates and other materials do not have sufficient availability at their facilities to do so in accordance with our timelines or are not otherwise able to meet our expected deadlines, we will experience delays in manufacturing our product candidates or other materials necessary for their manufacture. For example, we may rely on single CDMOs for certain manufacturing activities across multiple programs, and any issues we may experience with such a CDMO, including inability to secure manufacturing capacity as and when needed, could result in manufacturing delays across all such programs and harm our ability to timely and successfully complete clinical trials and commercialization of our product candidates. In addition, as described elsewhere in these Risk Factors, we assess and prioritize our programs on an ongoing basis based on various factors. We may not be able to secure manufacturing capacity for certain programs as and when needed and may be required to prioritize manufacturing activities for certain programs over others, which could lead to manufacturing delays and harm our ability to further develop the relevant product candidates. We may also experience similar capacity constraints and manufacturing delays in the future with respect to products we may manufacture at any manufacturing facility we may operate. Further, for each new program or CDMO we engage, or in the case of certain changes to the manufacturing process for a product candidate, the relevant manufacturing process and related know-how must be transferred to the CDMO. This technology transfer is time-consuming and complex. If we are required to switch from an existing CDMO to a new CDMO or to any manufacturing facility we may operate, including to meet cGMP quality requirements or support process lock or larger-scale manufacturing for later-stage clinical trials or potential commercialization, we will need to conduct additional technology transfer activities, which could result in delays in further development of the applicable product candidate.</w:t>
      </w:r>
    </w:p>
    <w:p>
      <w:pPr>
        <w:spacing w:after="0" w:line="2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Our CDMOs also face intense competition to attract and retain qualified personnel. If our CDMOs are unable to attract, retain, and motivate qualified personnel, they may be unable to perform their obligations in a timely manner or at all, or their performance may be substandard or may not meet our quality requirements, which could cause us to experience delays in or otherwise negatively impact the manufacturing of our product candidates. In addition, our CDMOs and other third parties supporting our operations may experience organizational changes, including due to mergers, acquisitions, or other transactions in which they are involved, which could similarly affect such parties’ ability to timely and properly perform their obligations or perform such obligations at all. Further, as described elsewhere in these Risk Factors, there are few alternatives for the CDMOs that we currently engage, and even if one of our CDMOs fails to perform according to our expectations and, for this or other reasons, we decide to switch to an alternative CDMO, there is no guarantee that such alternative CDMO will be able to perform its obligations in a timely manner or that its performance will meet our expectations or quality requirements. Any delays in manufacturing our product candidates could materially harm our ability to conduct our clinical trials or commercialize our product candidates in a timely manner or at all and could harm our business.</w:t>
      </w:r>
    </w:p>
    <w:p>
      <w:pPr>
        <w:spacing w:after="0" w:line="209" w:lineRule="exact"/>
        <w:rPr>
          <w:sz w:val="20"/>
          <w:szCs w:val="20"/>
          <w:color w:val="auto"/>
        </w:rPr>
      </w:pPr>
    </w:p>
    <w:p>
      <w:pPr>
        <w:ind w:right="80" w:firstLine="490"/>
        <w:spacing w:after="0" w:line="261" w:lineRule="auto"/>
        <w:rPr>
          <w:sz w:val="20"/>
          <w:szCs w:val="20"/>
          <w:color w:val="auto"/>
        </w:rPr>
      </w:pPr>
      <w:r>
        <w:rPr>
          <w:rFonts w:ascii="Times New Roman" w:cs="Times New Roman" w:eastAsia="Times New Roman" w:hAnsi="Times New Roman"/>
          <w:sz w:val="19"/>
          <w:szCs w:val="19"/>
          <w:color w:val="231F20"/>
        </w:rPr>
        <w:t>In addition, we may rely on CDMOs to produce sufficient quantities of materials required for the manufacture of our product candidates for preclinical testing and clinical trials and intend to continue to rely on CDMOs for the commercial manufacture of at least some of our products, if approved. Global supply chain shortages and rising rates of inflation in recent years and other factors have resulted in substantial increases in the costs of materials, including raw materials, reagents, consumables, and equipment that are required to make or used in the manufacture of our product candidates, and such costs may continue to increase for various reasons, including those described elsewhere in these Risk Factors. If we are unable to obtain such items from third-party sources, or fail to do so on commercially reasonable terms, we may not be able to produce sufficient supply of product candidate or we may be delayed or</w:t>
      </w:r>
    </w:p>
    <w:p>
      <w:pPr>
        <w:sectPr>
          <w:pgSz w:w="11880" w:h="15480" w:orient="portrait"/>
          <w:cols w:equalWidth="0" w:num="1">
            <w:col w:w="10800"/>
          </w:cols>
          <w:pgMar w:left="540" w:top="750" w:right="54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800"/>
          </w:cols>
          <w:pgMar w:left="540" w:top="750" w:right="540" w:bottom="0" w:gutter="0" w:footer="0" w:header="0"/>
          <w:type w:val="continuous"/>
        </w:sectPr>
      </w:pPr>
    </w:p>
    <w:bookmarkStart w:id="89" w:name="page90"/>
    <w:bookmarkEnd w:id="89"/>
    <w:p>
      <w:pPr>
        <w:ind w:right="160"/>
        <w:spacing w:after="0" w:line="277" w:lineRule="auto"/>
        <w:rPr>
          <w:sz w:val="20"/>
          <w:szCs w:val="20"/>
          <w:color w:val="auto"/>
        </w:rPr>
      </w:pPr>
      <w:r>
        <w:rPr>
          <w:rFonts w:ascii="Times New Roman" w:cs="Times New Roman" w:eastAsia="Times New Roman" w:hAnsi="Times New Roman"/>
          <w:sz w:val="20"/>
          <w:szCs w:val="20"/>
          <w:color w:val="231F20"/>
        </w:rPr>
        <w:t>be required to incur additional costs in doing so. Such inability or failure, or any substantial delay in obtaining or additional costs for such items, could materially harm our business.</w:t>
      </w:r>
    </w:p>
    <w:p>
      <w:pPr>
        <w:spacing w:after="0" w:line="169"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We rely on third parties to produce certain reagents and biological materials that are used in our discovery and development programs. These materials can be difficult to produce and occasionally have variability from our product specifications. If these materials do not comply with our product specifications, or in the event of any other disruption in the supply of these materials, our business could be materially adversely affected. Although we have control processes and screening procedures, biological materials are susceptible to damage and contamination and may contain active pathogens. Our suppliers may also have low yield from manufacturing batches of these materials, which could increase our costs and slow our development timelines. Improper storage of these materials, by us or any third-party suppliers, may require us to destroy some of these materials or product candidates generated using such materials.</w:t>
      </w:r>
    </w:p>
    <w:p>
      <w:pPr>
        <w:spacing w:after="0" w:line="202"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Reliance on CDMOs entails additional risks to which we would not be subject if we manufactured product candidates ourselves, including those applicable to other third-party service providers, as described elsewhere in these Risk Factors. In particular, such risks include reliance on the CDMO for regulatory compliance and quality control and assurance, including compliance with cGMP requirements and comparable standards relating to methods, facilities, and controls used in the manufacturing, processing, testing, and packing of product candidates, which are intended to ensure that biological products have acceptable safety profiles and that they consistently meet applicable requirements and specifications, and our CDMOs may be unable to satisfy applicable compliance and quality requirements in accordance with our timelines or at all. Additional risks include reliance on the CDMO for volume production, the possibility of breach of or inability to perform its obligations under the manufacturing agreement by the CDMO (including a failure to synthesize and manufacture our product candidates in accordance with our product specifications, failure to properly scale-up manufacturing processes, or failure to deliver sufficient quantities of product candidates in a timely manner), and the possibility of termination or nonrenewal of the agreement by the CDMO at a time that is costly or damaging to us. For example, certain of our CDMOs may be unable to manufacture sufficient supply of our product candidates or materials used in their manufacture, in particular, if and as we implement commercial cGMP practices or scale up manufacturing for later-stage clinical trials and potential commercialization. If we experience any issues with respect to the risks described above, or otherwise with respect to the performance by our CDMOs, we may be required to seek a replacement CDMO, which could require significant internal resources and additional costs, delay our ongoing manufacturing activities, and ultimately be unsuccessful. If we were unable to timely find an adequate replacement for our CDMOs or another acceptable solution when needed, our clinical trials could be delayed, or our commercial activities could be harmed. In addition, because we depend on our CDMOs, our suppliers, and other third parties for the manufacture, filling, storage, and distribution of our product candidates, we may be unable to prevent or control manufacturing defects in our products, the use or sale of which could seriously harm our business, financial condition, and results of operations. Issues involving any of the foregoing risks could increase our costs, delay our development timelines, and ultimately lead to a delay in, or failure to obtain, regulatory approval of our product candidates.</w:t>
      </w:r>
    </w:p>
    <w:p>
      <w:pPr>
        <w:spacing w:after="0" w:line="21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Pharmaceutical manufacturers are required to register their facilities and products manufactured at the time of submission of the marketing application and then annually thereafter with the FDA and certain state and foreign agencies. If the FDA or a comparable foreign regulatory authority does not approve our CDMO’s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on a timely basis or at all. Any discovery of problems with a product, or a manufacturing or laboratory facility used by us or our strategic partners in connection with manufacturing of that product, may result in restrictions on the product or on the relevant facility, including marketed product recall, suspension of manufacturing, product seizure, or a voluntary withdrawal of the drug from the market. We may have little to no control regarding the occurrence of any such incidents at our CDMOs.</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Pharmaceutical manufacturers are also subject to extensive post -marketing oversight by the FDA and comparable regulatory authorities in the jurisdictions where a product is marketed, including periodic unannounced and announced inspections by the FDA to assess compliance with cGMP requirements. Any failure by one of our CDMOs to comply with cGMP or to provide adequate and timely corrective actions in response to deficiencies identified in a regulatory inspection could result in further enforcement action that could lead to a shortage of products and harm our business, including withdrawal of approvals previously granted, seizure, injunction, or other civil or criminal penalties. The failure of a CDMO to address any concerns raised by the FDA or comparable foreign regulatory authorities could also lead to plant shutdown or the delay or withholding of product approval by the FDA in additional indications or by comparable foreign regulatory authorities in any indication. In addition, because our CDMOs also provide manufacturing services to other companies, including our competitors, there is a risk that our CDMOs may experience the issues described in this Risk Factor with respect to such third parties and their product candidates as well. The occurrence of any such issues could restrict, partially or completely, or otherwise negatively impact such CDMO’s ability to timely and successfully perform its obligations for us with respect to our own product candidates, which would harm our ability to continue manufacturing and commercialize such product candidates. Certain countries may impose additional requirements on the manufacturing of drug products or drug substances, and on manufacturers, as part of the regulatory approval process for products in such countries. The failure by our</w:t>
      </w:r>
    </w:p>
    <w:p>
      <w:pPr>
        <w:sectPr>
          <w:pgSz w:w="11880" w:h="15480" w:orient="portrait"/>
          <w:cols w:equalWidth="0" w:num="1">
            <w:col w:w="10780"/>
          </w:cols>
          <w:pgMar w:left="540" w:top="750" w:right="560" w:bottom="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780"/>
          </w:cols>
          <w:pgMar w:left="540" w:top="750" w:right="560" w:bottom="0" w:gutter="0" w:footer="0" w:header="0"/>
          <w:type w:val="continuous"/>
        </w:sectPr>
      </w:pPr>
    </w:p>
    <w:bookmarkStart w:id="90" w:name="page91"/>
    <w:bookmarkEnd w:id="90"/>
    <w:p>
      <w:pPr>
        <w:ind w:right="120"/>
        <w:spacing w:after="0" w:line="258" w:lineRule="auto"/>
        <w:rPr>
          <w:sz w:val="20"/>
          <w:szCs w:val="20"/>
          <w:color w:val="auto"/>
        </w:rPr>
      </w:pPr>
      <w:r>
        <w:rPr>
          <w:rFonts w:ascii="Times New Roman" w:cs="Times New Roman" w:eastAsia="Times New Roman" w:hAnsi="Times New Roman"/>
          <w:sz w:val="20"/>
          <w:szCs w:val="20"/>
          <w:color w:val="231F20"/>
        </w:rPr>
        <w:t>CDMOs to satisfy such requirements could impact our ability to obtain or maintain approval of our products in such countries. In addition, as described elsewhere in these Risk Factors, our CDMOs may be subject to various other laws and regulations, compliance with or the effect of which could harm our relationship with such CDMOs and negatively impact our business.</w:t>
      </w:r>
    </w:p>
    <w:p>
      <w:pPr>
        <w:spacing w:after="0" w:line="30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sufficient raw and intermediate materials on a timely basis or if we experience other manufacturing or supply interruptions or difficulties, we may be unable to resume supply of such materials or other manufacturing activities within a reasonable time frame and at an acceptable cost or at all, which could materially adversely affect our business.</w:t>
      </w:r>
    </w:p>
    <w:p>
      <w:pPr>
        <w:spacing w:after="0" w:line="68" w:lineRule="exact"/>
        <w:rPr>
          <w:sz w:val="20"/>
          <w:szCs w:val="20"/>
          <w:color w:val="auto"/>
        </w:rPr>
      </w:pPr>
    </w:p>
    <w:p>
      <w:pPr>
        <w:ind w:right="40" w:firstLine="490"/>
        <w:spacing w:after="0" w:line="241" w:lineRule="auto"/>
        <w:rPr>
          <w:sz w:val="20"/>
          <w:szCs w:val="20"/>
          <w:color w:val="auto"/>
        </w:rPr>
      </w:pPr>
      <w:r>
        <w:rPr>
          <w:rFonts w:ascii="Times New Roman" w:cs="Times New Roman" w:eastAsia="Times New Roman" w:hAnsi="Times New Roman"/>
          <w:sz w:val="20"/>
          <w:szCs w:val="20"/>
          <w:color w:val="231F20"/>
        </w:rPr>
        <w:t>The manufacture of our product candidates requires the timely delivery of sufficient amounts of raw and intermediate materials. We purchase, and rely on our CDMOs to purchase, certain of these materials from third-party suppliers in order to produce our product candidates for our preclinical and clinical studies. There are a limited number of suppliers of these materials, and we may need to assess alternate suppliers to prevent possible disruption of manufacturing of our product candidates for our preclinical studies, our future clinical trials, and if ultimately approved, commercial sale. We have relied, and expect to continue to rely, on our CDMOs to purchase materials in order to produce product candidates for our clinical trials; however, we do not have any control over the process or timing of the acquisition of these materials by our CDMOs or the costs of such materials. We work closely with our CDMOs and suppliers, as applicable, to ensure the continuity of supply, but we cannot ensure that these efforts will always be successful. Further, although we strive to diversify our sources of raw and intermediate materials, in certain instances we acquire raw and intermediate materials from a sole supplier. We cannot be sure that these suppliers will remain in business, or that they will not be purchased by one of our competitors or another company that is not interested in continuing to supply these materials for our intended purpose. As described elsewhere in these Risk Factors, such suppliers may also experience other organizational changes that could negatively impact their ability to supply necessary materials for our programs in a timely manner or at all. Alternative sources of supply may exist when we rely on sole supplier relationships, but we cannot ensure that, if needed, we would be able to quickly establish additional or replacement sources for some materials. The lead time needed to establish a relationship with a new supplier can be lengthy, and we may experience delays in the event a new supplier must be used. In addition, the time and effort to qualify a new supplier could result in additional costs, diversion of resources, or reduced manufacturing yields, any of which would negatively impact our operating results. Although we generally would not begin a clinical trial unless we believe we have a sufficient supply of a product candidate to complete the clinical trial, any significant delay in the supply of a product candidate, or the raw or intermediate material components thereof, for an ongoing clinical trial due to the need to replace a supplier could considerably delay completion of our clinical trials, product testing, and potential regulatory approval of our product candidates. Moreover, we currently do not have any agreements for the commercial supply of these raw or intermediate materials. A reduction or interruption in supply of raw or intermediate materials combined with an inability of us or our CDMOs to timely establish alternative sources for such supply could adversely affect our ability to manufacture our product candidates or approved products in a timely or cost-effective manner, result in a shortage of product supply, delay the development and any commercial launch of our product candidates, and ultimately impair our ability to generate revenues from sales of any approved products.</w:t>
      </w:r>
    </w:p>
    <w:p>
      <w:pPr>
        <w:spacing w:after="0" w:line="33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rely, and expect to continue to rely, on third parties, including service providers such as CROs, clinical trial sites, including principal investigators, and independent clinical investigators, to conduct or support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rely, and expect to continue to rely, on third parties, including service providers such as CROs, independent clinical investigators, and clinical trial sites, to properly and timely execute or support our preclinical studies and clinical trials and related activities, and to monitor and manage data for our ongoing preclinical and clinical programs, and we have relied to a greater extent on such outsourced activities following our November 2024 workforce reduction. However, we are only able to control certain aspects of the activities of these third parties to the extent set forth under our contracts with these third parties, and we have limited influence over their actual performance. Nevertheless, we are responsible for ensuring that each of our preclinical studies and clinical trials is conducted in accordance with the applicable protocol and legal, regulatory, and scientific standards and rules, and our reliance on these third parties does not relieve us of these obligations. With respect to any of our product candidates that may enter clinical development, we and our CROs and other service providers, as well as our clinical trial sites, including principal investigators, are required, and we rely on them, to comply with good clinical practices (GCP) requirements, which are regulations and guidelines enforced by the FDA and comparable foreign regulatory authorities. Regulatory authorities enforce GCPs through periodic inspections of clinical trial sponsors and clinical trial sites, including principal investigators. If we or any of our CROs or other service providers, or any clinical trial sites or principal investigators involved in our trials, fail to comply with applicable GCPs, the clinical data generated from these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In addition, to the extent third parties executing or otherwise supporting our clinical trials, including CROs and clinical trial sites, including principal investigators, fail to conduct such clinical trials in accordance with GCP, fail to timely and successfully enroll patients in our clinical</w:t>
      </w:r>
    </w:p>
    <w:p>
      <w:pPr>
        <w:sectPr>
          <w:pgSz w:w="11880" w:h="15480" w:orient="portrait"/>
          <w:cols w:equalWidth="0" w:num="1">
            <w:col w:w="10800"/>
          </w:cols>
          <w:pgMar w:left="540" w:top="750" w:right="540" w:bottom="0"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800"/>
          </w:cols>
          <w:pgMar w:left="540" w:top="750" w:right="540" w:bottom="0" w:gutter="0" w:footer="0" w:header="0"/>
          <w:type w:val="continuous"/>
        </w:sectPr>
      </w:pPr>
    </w:p>
    <w:bookmarkStart w:id="91" w:name="page92"/>
    <w:bookmarkEnd w:id="91"/>
    <w:p>
      <w:pPr>
        <w:ind w:right="20"/>
        <w:spacing w:after="0" w:line="252" w:lineRule="auto"/>
        <w:rPr>
          <w:sz w:val="20"/>
          <w:szCs w:val="20"/>
          <w:color w:val="auto"/>
        </w:rPr>
      </w:pPr>
      <w:r>
        <w:rPr>
          <w:rFonts w:ascii="Times New Roman" w:cs="Times New Roman" w:eastAsia="Times New Roman" w:hAnsi="Times New Roman"/>
          <w:sz w:val="20"/>
          <w:szCs w:val="20"/>
          <w:color w:val="231F20"/>
        </w:rPr>
        <w:t>trials, or experience significant delays in the execution of our trials, including delays in achieving full enrollment or clinical trial data collection and analysis, we may experience program delays, incur additional costs, or both, which may harm our business. Our clinical trials must also be conducted using product produced in compliance with cGMP regulations, and our failure to do so may require us to repeat clinical trials, which would delay the regulatory approval process for the relevant product candidate.</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Further, third parties that support our preclinical and clinical programs, such as service providers, including CROs, independent clinical investigators, and clinical trial sites, including principal investigators, are not our employees, and we are unable to control, other than by contract, the amount of resources, including time, that they devote to our product candidates, preclinical studies, and clinical trials. If such third parties, including our CROs or other service providers, are unable to attract, retain, and motivate qualified personnel or fail to devote sufficient resources to the development of our product candidates, they may be unable to perform their obligations in a timely manner or at all, or their performance may be substandard or fail to meet our quality requirements, which may delay or compromise the conduct of our preclinical and clinical programs and the prospects for approval and commercialization of any such product candidates. As described elsewhere in these Risk Factors, such third parties may also experience organizational changes that could similarly negatively impact their performance or prevent them from performing at all. In addition, in order for these third parties to perform under their contracts with us, we regularly disclose or plan to disclose to these third parties confidential or proprietary information, which increases the risk that this information will be misappropriated. Additionally, disruptions caused by global geo-political, economic, and other factors beyond our control may increase the likelihood that these third parties encounter difficulties or delays in performing their obligations to us, including with respect to initiating, enrolling, conducting, or completing our planned clinical trials.</w:t>
      </w:r>
    </w:p>
    <w:p>
      <w:pPr>
        <w:spacing w:after="0" w:line="213"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There is a limited number of third parties, including service providers such as CROs and clinical trial sites, that specialize in or have the expertise required to achieve our business objectives. These third parties generally have the right to terminate their agreements with us in the event of our uncured material breach, and may have the right to terminate under other circumstances, including if it can be reasonably demonstrated that the safety of the subjects participating in our clinical trials warrants such termination. If any of our relationships with these third parties terminate, we may not be able to enter into arrangements with alternative third parties or do so in a timely manner or on commercially reasonable terms. If these third parties do not successfully carry out their contractual duties or obligations or meet expected deadlines, if they need to be replaced, or if the quality or accuracy of the data they obtain is compromised due to the failure to adhere to our preclinical or clinical protocols, regulatory requirements, or for other reasons, our preclinical studies or clinical trials may be extended, delayed, or terminated, the results thereof could be negatively impacted,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from existing to alternative service providers or clinical trial sites, or adding new service providers or clinical trial sites, may involve significant cost and requires management time and focus. In addition, there is a natural transition period when a new service provider commences work, which could lead to delays and materially impact our ability to meet our desired development, including clinical development, timelines. Additionally, even if our service providers perform as required, they may lack the capacity to absorb higher workloads or take on additional capacity to support our needs. Though we carefully manage our relationships with these service providers, including our contracted laboratories and CROs, there can be no assurance that we will not encounter these types of challenges or delays in the future or that these delays or challenges will not have a material adverse impact on our business, financial condition, and prospects.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Intellectual Property and Information Technology</w:t>
      </w:r>
    </w:p>
    <w:p>
      <w:pPr>
        <w:spacing w:after="0" w:line="12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on our ability to protect our intellectual property rights and proprietary technologies, and we may not be able to protect our intellectual property rights throughout the world.</w:t>
      </w:r>
    </w:p>
    <w:p>
      <w:pPr>
        <w:spacing w:after="0" w:line="44" w:lineRule="exact"/>
        <w:rPr>
          <w:sz w:val="20"/>
          <w:szCs w:val="20"/>
          <w:color w:val="auto"/>
        </w:rPr>
      </w:pPr>
    </w:p>
    <w:p>
      <w:pPr>
        <w:ind w:right="100" w:firstLine="490"/>
        <w:spacing w:after="0" w:line="236" w:lineRule="auto"/>
        <w:rPr>
          <w:sz w:val="20"/>
          <w:szCs w:val="20"/>
          <w:color w:val="auto"/>
        </w:rPr>
      </w:pPr>
      <w:r>
        <w:rPr>
          <w:rFonts w:ascii="Times New Roman" w:cs="Times New Roman" w:eastAsia="Times New Roman" w:hAnsi="Times New Roman"/>
          <w:sz w:val="20"/>
          <w:szCs w:val="20"/>
          <w:color w:val="231F20"/>
        </w:rPr>
        <w:t>Patent rights are national or regional rights. The filing, prosecution, maintenance, and defense of patent rights on our platform technologies and product candidates worldwide would be prohibitively expensive, and our intellectual property rights in some countries outside the United States may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intellectual property rights in all countries outside the United States or from making, using, selling, or importing products made using our intellectual property rights in and into the United States or other jurisdictions. Competitors may use our technologies in jurisdictions where we have not obtained intellectual property rights, including patent protection, to develop their own products and may also export otherwise infringing products to territories where we have intellectual property rights, including patent protection, but enforcement rights are not as strong as those in the United States. These products may compete with our products and our patent or other intellectual property rights may not be effective or adequate to prevent them from competing.</w:t>
      </w:r>
    </w:p>
    <w:p>
      <w:pPr>
        <w:spacing w:after="0" w:line="212"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9"/>
          <w:szCs w:val="19"/>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w:t>
      </w:r>
    </w:p>
    <w:p>
      <w:pPr>
        <w:sectPr>
          <w:pgSz w:w="11880" w:h="15480" w:orient="portrait"/>
          <w:cols w:equalWidth="0" w:num="1">
            <w:col w:w="10800"/>
          </w:cols>
          <w:pgMar w:left="540" w:top="750" w:right="540" w:bottom="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800"/>
          </w:cols>
          <w:pgMar w:left="540" w:top="750" w:right="540" w:bottom="0" w:gutter="0" w:footer="0" w:header="0"/>
          <w:type w:val="continuous"/>
        </w:sectPr>
      </w:pPr>
    </w:p>
    <w:bookmarkStart w:id="92" w:name="page93"/>
    <w:bookmarkEnd w:id="92"/>
    <w:p>
      <w:pPr>
        <w:spacing w:after="0" w:line="242" w:lineRule="auto"/>
        <w:rPr>
          <w:sz w:val="20"/>
          <w:szCs w:val="20"/>
          <w:color w:val="auto"/>
        </w:rPr>
      </w:pPr>
      <w:r>
        <w:rPr>
          <w:rFonts w:ascii="Times New Roman" w:cs="Times New Roman" w:eastAsia="Times New Roman" w:hAnsi="Times New Roman"/>
          <w:sz w:val="20"/>
          <w:szCs w:val="20"/>
          <w:color w:val="231F20"/>
        </w:rPr>
        <w:t>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are expensive, especially in jurisdictions where we have no local presence, and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1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Because of the expense and uncertainty of litigation, we may conclude that, even if a third party is infringing our issued patents, or any patents that may be issued as a result of our pending or future patent applications, or other intellectual property rights, the risk-adjusted cost of bringing and enforcing such a claim or action, which typically lasts for years before it is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and/or more mature and developed intellectual property portfolios. In such cases, we may decide that the monetary cost of such litigation and the diversion of the attention of our management and scientific personnel could outweigh any benefit we may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initiate or continue our future clinical trials, continue our internal research programs, in-license needed technology or other product candidates, or enter into development partnerships that would help us bring our product candidates to market.</w:t>
      </w:r>
    </w:p>
    <w:p>
      <w:pPr>
        <w:spacing w:after="0" w:line="206"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color w:val="231F20"/>
        </w:rPr>
        <w:t>Global geo-political actions, such as those described elsewhere in these Risk Factors, including retaliatory measures that may be implemented by foreign countries in response to tariffs or other actions by the United States, could also increase the uncertainties and costs surrounding the prosecution and maintenance of our or our licensors’ patent applications and the maintenance, enforcement, and defense of our or our licensors’ issued patents or otherwise adversely impact our intellectual property rights in those countries.</w:t>
      </w:r>
    </w:p>
    <w:p>
      <w:pPr>
        <w:spacing w:after="0" w:line="31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depend on intellectual property licensed from third parties, and our rights to develop and commercialize our product candidates are subject to, in part, the terms and conditions of the applicable license agreements. If we breach our obligations under these agreements or if any of these agreements is terminated, we may be required to pay damages, lose our rights to such intellectual property and technology, or both, which would harm our business.</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depend on patents, know-how, and proprietary technology, both that we own and that we license from others, to research, develop, and commercialize our product candidates. We are a party to a number of intellectual property license agreements and acquisition agreements pursuant to which we have acquired certain of our core intellectual property rights. Moreover, we rely upon licenses to certain intellectual property rights and proprietary technology from third parties that are important or necessary for the development of our technologies and products, including technology related to our manufacturing processes and our product candidates. These licenses may not provide exclusive rights to use such intellectual property and technology in all relevant fields of use or in all territories in which we may wish to develop or commercialize our technology and products in the future. As a result, we may not be able to prevent competitors from developing and commercializing competitive products in such fields of use or territories. These licenses may also require us to grant back certain intellectual property rights to our licensors and to pay certain amounts relating to sublicensing patent and other rights.</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We have entered into, and we expect to enter into in the future, license and other agreements pursuant to which we may obtain access to or acquire intellectual property rights and technologies. These license and acquisition agreements impose, and we expect that future license and acquisition agreements will impose, various diligence, milestone, royalty, and other payment, and other obligations on us. If we fail to comply with our obligations under these agreements, we may be required to pay damages, and the licensor or other party may have the right to terminate the agreement. Any termination of these agreements could result in the loss of significant rights and could harm our ability to develop or advance one of our cell engineering platforms, or develop, manufacture, or commercialize one of our product candidates. See the subsection titled “Business— Key Intellectual Property Agreements” in Part I, Item 1 of this Annual Report for additional information regarding these key agreements.</w:t>
      </w:r>
    </w:p>
    <w:p>
      <w:pPr>
        <w:sectPr>
          <w:pgSz w:w="11880" w:h="15480" w:orient="portrait"/>
          <w:cols w:equalWidth="0" w:num="1">
            <w:col w:w="10800"/>
          </w:cols>
          <w:pgMar w:left="540" w:top="750" w:right="54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800"/>
          </w:cols>
          <w:pgMar w:left="540" w:top="750" w:right="540" w:bottom="0" w:gutter="0" w:footer="0" w:header="0"/>
          <w:type w:val="continuous"/>
        </w:sectPr>
      </w:pPr>
    </w:p>
    <w:bookmarkStart w:id="93" w:name="page94"/>
    <w:bookmarkEnd w:id="93"/>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Licensing of intellectual property is of critical importance to our business, involves complex legal, business, and scientific issues, and is complicated by the rapid pace of scientific discovery in our industry. Disputes may arise between us and our licensors regarding intellectual property subject to a license agreement, including those relating to:</w:t>
      </w:r>
    </w:p>
    <w:p>
      <w:pPr>
        <w:spacing w:after="0" w:line="83" w:lineRule="exact"/>
        <w:rPr>
          <w:sz w:val="20"/>
          <w:szCs w:val="20"/>
          <w:color w:val="auto"/>
        </w:rPr>
      </w:pPr>
    </w:p>
    <w:p>
      <w:pPr>
        <w:ind w:left="980" w:right="12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issues related to interpretation of the agreement, certain provisions of which may be susceptible to multiple interpretations;</w:t>
      </w:r>
    </w:p>
    <w:p>
      <w:pPr>
        <w:spacing w:after="0" w:line="64"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and the extent to which our technology and processes infringe on intellectual property of the licensor that is not subject to the license agreement;</w:t>
      </w:r>
    </w:p>
    <w:p>
      <w:pPr>
        <w:spacing w:after="0" w:line="64"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our right to sublicense the patent and other rights granted to us under the license agreement to third parties as part of collaborative development relationships;</w:t>
      </w:r>
    </w:p>
    <w:p>
      <w:pPr>
        <w:spacing w:after="0" w:line="64" w:lineRule="exact"/>
        <w:rPr>
          <w:rFonts w:ascii="Arial" w:cs="Arial" w:eastAsia="Arial" w:hAnsi="Arial"/>
          <w:sz w:val="20"/>
          <w:szCs w:val="20"/>
          <w:color w:val="231F20"/>
        </w:rPr>
      </w:pPr>
    </w:p>
    <w:p>
      <w:pPr>
        <w:jc w:val="both"/>
        <w:ind w:left="980" w:hanging="490"/>
        <w:spacing w:after="0" w:line="258"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we are complying with our diligence obligations with respect to the use of the licensed intellectual property rights in relation to our development and commercialization of our product candidates, and what activities satisfy those diligence obligations;</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priority of invention of patented technology;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and timing of payments owed under license agreements; and</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allocation of ownership of inventions and know-how resulting from the joint creation or use of intellectual property by our licensors and by us and our partners.</w:t>
      </w:r>
    </w:p>
    <w:p>
      <w:pPr>
        <w:spacing w:after="0" w:line="17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resolution of any contract interpretation disagreement that may arise could change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Our business may also suffer if any current or future licensors fail to abide by the terms of the applicable agreement, if such licensors fail to enforce licensed patents against infringing third parties, if the licensed patents or other rights are found to be unpatentable, invalid, or unenforceable, or if we are unable to enter into or maintain necessary license agreements on acceptable terms or at all. If disputes over intellectual property that we have licensed prevent or impair our ability to maintain our current or future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w:t>
      </w:r>
    </w:p>
    <w:p>
      <w:pPr>
        <w:spacing w:after="0" w:line="20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In addition, although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sustain profitability.</w:t>
      </w:r>
    </w:p>
    <w:p>
      <w:pPr>
        <w:spacing w:after="0" w:line="19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If we are unable to successfully maintain the intellectual property rights we currently have pursuant to agreements with third parties, or those we may in-license or acquire in the future, we may have to abandon development of the relevant research programs or product candidates, which could harm our ability to commercialize our products, and our business, financial condition, results of operations, and prospects could be materially adversely affected.</w:t>
      </w:r>
    </w:p>
    <w:p>
      <w:pPr>
        <w:spacing w:after="0" w:line="31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in part, on our licensors to file, prosecute, maintain, defend, and enforce certain patents and patent applications that are material to our business.</w:t>
      </w:r>
    </w:p>
    <w:p>
      <w:pPr>
        <w:spacing w:after="0" w:line="49"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19"/>
          <w:szCs w:val="19"/>
          <w:color w:val="231F20"/>
        </w:rPr>
        <w:t>Certain patents relating to our product candidates are owned or controlled by certain of our licensors. Each of our licensors generally has rights to file, prosecute, maintain, and defend the patents we have licensed from such licensor in their name, generally with our right to comment on such filing, prosecution, maintenance, and defense, with some obligation for the licensor to consider or incorporate our comments, for our exclusively licensed patents. We generally have the first right to enforce our exclusively licensed patent rights against third parties, although our ability to settle such claims often requires the consent of the licensor. If our licensors, third parties from whom they license or have obtained the relevant patents, or any future licensees having rights to file, prosecute, maintain, and defend our patent rights fail, or have in the past failed, to properly and timely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have been or will be conducted in compliance with applicable laws and regulations or will result in valid and enforceable patents or other intellectual property rights. Pursuant to the terms of certain existing or future license agreements, the licensor may have the right to control enforcement of our licensed patents or defense of any claims asserting the invalidity of these patents and, even if we are permitted to pursue such enforcement or defense, we cannot ensure the cooperation of such licensor. We cannot be certain that our licensors will allocate sufficient resources or prioritize their or our enforcement of such patents or defense of</w:t>
      </w:r>
    </w:p>
    <w:p>
      <w:pPr>
        <w:sectPr>
          <w:pgSz w:w="11880" w:h="15480" w:orient="portrait"/>
          <w:cols w:equalWidth="0" w:num="1">
            <w:col w:w="10800"/>
          </w:cols>
          <w:pgMar w:left="540" w:top="750" w:right="54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800"/>
          </w:cols>
          <w:pgMar w:left="540" w:top="750" w:right="540" w:bottom="0" w:gutter="0" w:footer="0" w:header="0"/>
          <w:type w:val="continuous"/>
        </w:sectPr>
      </w:pPr>
    </w:p>
    <w:bookmarkStart w:id="94" w:name="page95"/>
    <w:bookmarkEnd w:id="94"/>
    <w:p>
      <w:pPr>
        <w:ind w:right="40"/>
        <w:spacing w:after="0" w:line="246" w:lineRule="auto"/>
        <w:rPr>
          <w:sz w:val="20"/>
          <w:szCs w:val="20"/>
          <w:color w:val="auto"/>
        </w:rPr>
      </w:pPr>
      <w:r>
        <w:rPr>
          <w:rFonts w:ascii="Times New Roman" w:cs="Times New Roman" w:eastAsia="Times New Roman" w:hAnsi="Times New Roman"/>
          <w:sz w:val="20"/>
          <w:szCs w:val="20"/>
          <w:color w:val="231F20"/>
        </w:rPr>
        <w:t>such claims to protect our interests in the licensed patents. Even if we are not a party to these legal actions, an adverse outcome could cause us to lose rights to intellectual property that we may need to operate our business or could cause us to lose the ability to exclude our competitors from using the intellectual property rights, which would harm our business. In addition, even when we have the right to control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In the event we breach any of our contractual obligations to our licensors related to such prosecution, we may incur significant liability to our licensors.</w:t>
      </w:r>
    </w:p>
    <w:p>
      <w:pPr>
        <w:spacing w:after="0" w:line="320"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may not be successful in obtaining or maintaining necessary rights to product candidates and technologies or related components or processes, which may require us to operate our business in a more costly or otherwise adverse manner than we anticipated. We may not be successful in obtaining or maintaining exclusive rights to owned and in-licensed patents or patent applications or future patents to the extent they are co-owned by us and third parties.</w:t>
      </w:r>
    </w:p>
    <w:p>
      <w:pPr>
        <w:spacing w:after="0" w:line="7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We own or license from third parties certain intellectual property rights necessary to develop our product candidates. The growth of our business will likely depend in part on our ability to acquire or in -license additional proprietary rights, including to advance our research or allow commercialization of our product candidates. If we are unable to successfully obtain rights to required third-party intellectual property or to maintain the existing intellectual property rights we have, we may have to abandon development or delay commercialization of one or more product candidates and our business and financial condition could suffer.</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If we are unable to obtain or maintain necessary third-party intellectual property rights, we may be required to expend considerable time and resources to develop or license replacement technology. For example, our programs may rely upon technologies or product candidates that require the use of additional proprietary rights held by third parties. Furthermore, other pharmaceutical companies and academic institutions may have filed or may plan to file patent applications potentially relevant to our business. In order to work effectively and efficiently, or for other reasons, our product candidates may also require specific formulations, reagents, materials, components, or other technology, which may be covered by intellectual property rights held by others. In order to avoid infringing third-party patents, we may be required to license technology from these third parties to further develop or commercialize our product candidates. We may be unable to acquire or in-license third-party intellectual property rights that we identify as necessary or important to our business operations, including composition, method of use, method of making, or other intellectual property rights required to make, use, or sell our product candidates. Such licenses or other rights may not be available at a reasonable cost or on reasonable terms, or at all. As a result, we may need to cease use of the compositions or methods covered by such third-party intellectual property rights and be unable to develop or commercialize the affected product candidates, which would harm our business. In addition, we may need to seek to develop alternative approaches that do not infringe on such intellectual property rights, which may entail additional costs and lead to delays in development. In certain cases, it may not be feasible for us to develop such alternatives, which would harm out ability to continue development of the affected product candidates. Even if we are able to obtain a license to such intellectual property rights, any such license may be non-exclusive, which may allow our competitors to access to the same technologies licensed to us.</w:t>
      </w:r>
    </w:p>
    <w:p>
      <w:pPr>
        <w:spacing w:after="0" w:line="208"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However, we may be unable to negotiate a license within the specified timeframe or under terms that are acceptable to us and the institution may license the intellectual property rights to other parties, potentially blocking our ability to pursue any of our programs to which such rights relate.</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licensing and acquisition of third-party intellectual property rights is competitive, and other companies may also be pursuing strategies to license or acquire third -party intellectual property rights that we may consider necessary or attractive in order to commercialize our product candidates. More established companies or those with greater resources may have a competitive advantage over us, for example, due to their larger size or greater clinical development and commercialization capabilities. There can be no assurance that we will be able to successfully complete negotiations and ultimately license or acquire the intellectual property rights necessary or useful for the development and commercialization of our product candidates. Any delays in entering into, or inability to enter into, license or other agreements pursuant to which we obtain rights related to our product candidates could delay or halt the development and commercialization of our product candidates in certain geographies, which could harm our business prospects, financial condition, and results of operations.</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Moreover, some of our current or future owned and in-licensed patents or patent applications are or may be co-owned with third parties. If we are unable to obtain an exclusive license to any such co-owner’s interest in such patents or patent applications, such co-owner may be able to license their rights to other third parties, including our competitors, enabling them to market competing products and technologies. In addition, such co-owner may not provide the cooperation necessary to enforce such patents against third parties. Furthermore, our owned and in-licensed patents may be subject to a reservation of rights by one or more third parties. Any of the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780"/>
          </w:cols>
          <w:pgMar w:left="540" w:top="750" w:right="560" w:bottom="0" w:gutter="0" w:footer="0" w:header="0"/>
          <w:type w:val="continuous"/>
        </w:sectPr>
      </w:pPr>
    </w:p>
    <w:bookmarkStart w:id="95" w:name="page96"/>
    <w:bookmarkEnd w:id="95"/>
    <w:p>
      <w:pPr>
        <w:ind w:right="260"/>
        <w:spacing w:after="0" w:line="277" w:lineRule="auto"/>
        <w:rPr>
          <w:sz w:val="20"/>
          <w:szCs w:val="20"/>
          <w:color w:val="auto"/>
        </w:rPr>
      </w:pPr>
      <w:r>
        <w:rPr>
          <w:rFonts w:ascii="Times New Roman" w:cs="Times New Roman" w:eastAsia="Times New Roman" w:hAnsi="Times New Roman"/>
          <w:sz w:val="20"/>
          <w:szCs w:val="20"/>
          <w:color w:val="231F20"/>
        </w:rPr>
        <w:t>foregoing could have a material adverse effect on our competitive position, business, financial conditions, results of operations, and prospects.</w:t>
      </w:r>
    </w:p>
    <w:p>
      <w:pPr>
        <w:spacing w:after="0" w:line="28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depend on intellectual property licensed or sublicensed to us from, or for which development was funded or otherwise assisted by, government agencies, such as the National Institutes of Health, for development of our technologies and product candidates.</w:t>
      </w:r>
    </w:p>
    <w:p>
      <w:pPr>
        <w:spacing w:after="0" w:line="6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 xml:space="preserve">Government agencies have provided, and may in the future provide, funding, facilities, personnel, or other assistance in connection with the development of the intellectual property rights owned by or licensed to us. Such government agencies may have retained rights in such intellectual property, including the right to grant or require us to grant mandatory licenses or sublicenses to such intellectual property to third parties under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could result in our loss of significant rights and could harm our ability to commercialize or continue commercializing the relevant products. For example, at least one of our in-licensed patent cases related to each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has been funded at least in part by the United States government. As a result, these patent cases are subject to certain federal regulations pursuant to the Bayh-Dole Act of 1980 (Bayh-Dole Act). In particular, the federal government retains a “nonexclusive, nontransferable, irrevocable, paid-up license” for its own benefit to inventions produced with its financial assistance. The Bayh-Dole Act also provides federal agencies with “march-in rights,” which allow the government, in specified circumstances, to require the contractors or successors in title to the patent to grant a “nonexclusive, partially exclusive, or exclusive license” to a “responsible applicant or applicants.” If the patent owner refuses to do so, the government may grant the license itself. Intellectual property rights discovered under government-funded programs are also subject to certain reporting requirements, compliance with which may require us or our licensors to expend substantial resources, and failure to comply may lead to loss of rights. Such intellectual property is also subject to a preference for United States industry, which may limit our ability to contract with foreign product manufacturers for products covered by such intellectual property rights. Moreover, we cannot be sure that any intellectual property we may co-develop with academic institutions in connection with research or development activities will be free from government rights pursuant to the Bayh-Dole Act. If, in the future, we co-own or in-license technology that is critical to our business and is developed in whole or in part with federal funds subject to the Bayh-Dole Act, our ability to enforce or otherwise exploit patents covering such technology may be adversely affected.</w:t>
      </w:r>
    </w:p>
    <w:p>
      <w:pPr>
        <w:spacing w:after="0" w:line="3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and maintain sufficient intellectual property protection for our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6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Our success depends in large part on our ability to obtain and maintain patent protection in the United States and other countries with respect to our technologies and product candidates. We seek to protect our proprietary position by filing patent applications in the United States and abroad related to our novel discoveries and technologies that are important to our business. We have filed numerous patent applications and anticipate that we will file additional patent applications both in the United States and in other countries, as appropriate. However, we cannot predict:</w:t>
      </w:r>
    </w:p>
    <w:p>
      <w:pPr>
        <w:spacing w:after="0" w:line="83" w:lineRule="exact"/>
        <w:rPr>
          <w:sz w:val="20"/>
          <w:szCs w:val="20"/>
          <w:color w:val="auto"/>
        </w:rPr>
      </w:pPr>
    </w:p>
    <w:p>
      <w:pPr>
        <w:ind w:left="980" w:right="20" w:hanging="490"/>
        <w:spacing w:after="0" w:line="249"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if and when any patents will issue from our owned and in-licensed patent applications, and whether the claims of any such issued patent will cover our product candidates and technologies or uses thereof in the United States or in other foreign countries;</w:t>
      </w:r>
    </w:p>
    <w:p>
      <w:pPr>
        <w:spacing w:after="0" w:line="79" w:lineRule="exact"/>
        <w:rPr>
          <w:rFonts w:ascii="Arial" w:cs="Arial" w:eastAsia="Arial" w:hAnsi="Arial"/>
          <w:sz w:val="20"/>
          <w:szCs w:val="20"/>
          <w:color w:val="231F20"/>
        </w:rPr>
      </w:pPr>
    </w:p>
    <w:p>
      <w:pPr>
        <w:ind w:left="980" w:right="280" w:hanging="490"/>
        <w:spacing w:after="0" w:line="267"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degree and range of protection any issued patents will afford us against competitors, including whether third parties will find ways to invalidate or otherwise circumvent our patents;</w:t>
      </w:r>
    </w:p>
    <w:p>
      <w:pPr>
        <w:spacing w:after="0" w:line="62" w:lineRule="exact"/>
        <w:rPr>
          <w:rFonts w:ascii="Arial" w:cs="Arial" w:eastAsia="Arial" w:hAnsi="Arial"/>
          <w:sz w:val="20"/>
          <w:szCs w:val="20"/>
          <w:color w:val="231F20"/>
        </w:rPr>
      </w:pPr>
    </w:p>
    <w:p>
      <w:pPr>
        <w:ind w:left="980" w:right="460" w:hanging="490"/>
        <w:spacing w:after="0" w:line="267"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others will apply for or obtain patents claiming inventions similar to those covered by our patents and patent applications; or</w:t>
      </w:r>
    </w:p>
    <w:p>
      <w:pPr>
        <w:spacing w:after="0" w:line="62" w:lineRule="exact"/>
        <w:rPr>
          <w:rFonts w:ascii="Arial" w:cs="Arial" w:eastAsia="Arial" w:hAnsi="Arial"/>
          <w:sz w:val="20"/>
          <w:szCs w:val="20"/>
          <w:color w:val="231F20"/>
        </w:rPr>
      </w:pPr>
    </w:p>
    <w:p>
      <w:pPr>
        <w:ind w:left="980" w:right="180" w:hanging="490"/>
        <w:spacing w:after="0" w:line="267"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we will need to initiate litigation or administrative proceedings to defend our patent rights, which may be costly whether we win or lose.</w:t>
      </w:r>
    </w:p>
    <w:p>
      <w:pPr>
        <w:spacing w:after="0" w:line="177"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231F20"/>
        </w:rPr>
        <w:t>Obtaining and enforcing patents is expensive and time-consuming, and we may not be able to file, and we and our licensors may not be able to prosecute, all necessary or desirable patent applications or maintain, defend, or enforce patents that may issue based on our patent applications at a reasonable cost or in a timely manner. It is also possible that we will fail to identify patentable aspects of our research and development results before it is too late to obtain patent protection or before another party files a patent application covering the relevant inventions. Although we enter into confidentiality agreements with parties that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w:t>
      </w:r>
    </w:p>
    <w:p>
      <w:pPr>
        <w:sectPr>
          <w:pgSz w:w="11880" w:h="15480" w:orient="portrait"/>
          <w:cols w:equalWidth="0" w:num="1">
            <w:col w:w="10800"/>
          </w:cols>
          <w:pgMar w:left="540" w:top="750" w:right="540" w:bottom="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800"/>
          </w:cols>
          <w:pgMar w:left="540" w:top="750" w:right="540" w:bottom="0" w:gutter="0" w:footer="0" w:header="0"/>
          <w:type w:val="continuous"/>
        </w:sectPr>
      </w:pPr>
    </w:p>
    <w:bookmarkStart w:id="96" w:name="page97"/>
    <w:bookmarkEnd w:id="96"/>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Composition of matter patents for biological products such as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product candidates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agencies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may be difficult to prevent or prosecute.</w:t>
      </w:r>
    </w:p>
    <w:p>
      <w:pPr>
        <w:spacing w:after="0" w:line="20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One aspect of the determination of patentability of inventions depends on the scope and content of the “prior art,” which is information that was or is deemed available to a person of skill in the relevant art prior to the priority date of the claimed invention. There may be prior art of which we are not aware that may affect the patentability of our inventions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on the patentability of our own patents and patent applications, as well as upon our freedom to operate, is highly uncertain. Because patent applications in the United States and most other countries are typically confidential for a period of 18 months after filing, or may not be published at all, we cannot be certain that we were or will be the first to file any patent application related to our product candidates. As a result, the issuance, scope, validity, enforceability, and commercial value of our patent rights are highly uncertain. Furthermore, for United States patent applications in which all claims are entitled to a priority date before March 16, 2013, an interference proceeding can be instituted by a third party or the USPTO to determine who was the first to invent any of the subject matter covered by the relevant patent claims. For United States patent applications containing a claim not entitled to priority before March 16, 2013, there is a greater level of uncertainty in the patent law in view of the passage of the Leahy-Smith America Invents Act (the Leahy-Smith Act), which introduced significant changes to the United States patent laws, including new procedures for challenging pending patent applications and issued patents.</w:t>
      </w:r>
    </w:p>
    <w:p>
      <w:pPr>
        <w:spacing w:after="0" w:line="21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The strength of patents in the biotechnology and pharmaceutical fields can be uncertain and evaluating the scope and validity of such patents involves complex legal, factual, and scientific analyses, which may vary based on the jurisdiction in which the analyses are performed. Patents have in recent years been the subject of much litigation in the United States and worldwide, resulting in court decisions, including United States Supreme Court decisions, that have increased uncertainty as to the patentability of certain inventions as well as the enforceability of patent rights in the future. The patent applications that we own or in-license may fail to result in issued patents with claims that cover our technologies or product candidates or uses thereof in the United States or foreign countries. Even if patents do successfully issue, third parties may challenge the patentability, validity, enforceability, or scope thereof, which may result in such patents being narrowed, invalidated, revoked, or held unenforceable. In the event of litigation or administrative proceedings involving our issued patents, we cannot be certain that the claims of any such patent will be considered patentable by administrative bodies or valid by courts in either the United States or foreign countries. Furthermore, even if they are unchallenged, our issued patents may not adequately cover our technologies or product candidates or prevent others from designing their products to avoid being covered by our patent claims. If the breadth or strength of protection provided by our patents is threatened, companies may be dissuaded from collaborating with us to develop, and could threaten our ability to successfully commercialize, our product candidates. In addition, the laws of foreign countries may not protect our rights to the same extent as the laws of the United States, or vice versa. Further, as patent rights are time limited, if we encounter delays in our clinical trials, the period of time during which we could market our product candidates under patent protection would be reduced.</w:t>
      </w:r>
    </w:p>
    <w:p>
      <w:pPr>
        <w:spacing w:after="0" w:line="33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identify relevant third-party patents or may incorrectly interpret the relevance, scope, or expiration of a third-party patent, which might adversely affect our ability to develop and market our products.</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We cannot guarantee that any of our patent searches or analyses, including the identification of relevant patents, the scope or validity of patent claims, or the expiration of relevant patents, are complete or thorough, nor can we be certain that we have identified each and every third-party patent and pending application worldwide, including in the United States, that is relevant to or necessary for the commercialization of our product candidates in any jurisdiction. The scope of a patent’s claims is determined by an interpretation of the laws of the country in which the patent has been granted, the written disclosure in the patent, and the patent’s prosecution history. We may incorrectly interpret the relevance or scope of a patent or a pending application, determine that our products are not covered by a third-party patent, predict whether a third party’s pending application will issue with claims of relevant scope, or determine the expiration date of any patent worldwide, including in the United States, that we consider relevant. Any of the foregoing could negatively impact our ability to develop and market our product candidates.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760"/>
          </w:cols>
          <w:pgMar w:left="540" w:top="750" w:right="5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protect us from all potential threats to our competitive advantage.</w:t>
      </w:r>
    </w:p>
    <w:p>
      <w:pPr>
        <w:spacing w:after="0" w:line="120"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231F20"/>
        </w:rPr>
        <w:t>The degree of protection afforded by our intellectual property rights is uncertain because intellectual property rights have limitations and may not adequately protect our business or enable us to maintain our competitive advantage. For example:</w:t>
      </w:r>
    </w:p>
    <w:p>
      <w:pPr>
        <w:spacing w:after="0" w:line="64" w:lineRule="exact"/>
        <w:rPr>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technologies that are patentable;</w:t>
      </w:r>
    </w:p>
    <w:p>
      <w:pPr>
        <w:spacing w:after="0" w:line="133"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choose not to file a patent in order to maintain certain rights as trade secrets or know-how, and a third party may subsequently file a patent covering such intellectual property;</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our pending patent applications may not lead to issued patents for various reasons;</w:t>
      </w:r>
    </w:p>
    <w:p>
      <w:pPr>
        <w:spacing w:after="0" w:line="133" w:lineRule="exact"/>
        <w:rPr>
          <w:rFonts w:ascii="Arial" w:cs="Arial" w:eastAsia="Arial" w:hAnsi="Arial"/>
          <w:sz w:val="20"/>
          <w:szCs w:val="20"/>
          <w:color w:val="231F20"/>
        </w:rPr>
      </w:pPr>
    </w:p>
    <w:p>
      <w:pPr>
        <w:ind w:left="980" w:right="60" w:hanging="490"/>
        <w:spacing w:after="0" w:line="258"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or future collaborators may not have been the first to make the inventions covered by, or the first to file, certain issued patents or pending patent applications that we own or have exclusively licensed, which may jeopardize our or our licensors’ or future collaborators’ ability to obtain an issued patent or the validity of any issued patents;</w:t>
      </w:r>
    </w:p>
    <w:p>
      <w:pPr>
        <w:spacing w:after="0" w:line="81" w:lineRule="exact"/>
        <w:rPr>
          <w:rFonts w:ascii="Arial" w:cs="Arial" w:eastAsia="Arial" w:hAnsi="Arial"/>
          <w:sz w:val="20"/>
          <w:szCs w:val="20"/>
          <w:color w:val="231F20"/>
        </w:rPr>
      </w:pPr>
    </w:p>
    <w:p>
      <w:pPr>
        <w:ind w:left="980" w:right="220" w:hanging="490"/>
        <w:spacing w:after="0" w:line="304" w:lineRule="auto"/>
        <w:tabs>
          <w:tab w:leader="none" w:pos="980" w:val="left"/>
        </w:tabs>
        <w:numPr>
          <w:ilvl w:val="0"/>
          <w:numId w:val="50"/>
        </w:numPr>
        <w:rPr>
          <w:rFonts w:ascii="Arial" w:cs="Arial" w:eastAsia="Arial" w:hAnsi="Arial"/>
          <w:sz w:val="19"/>
          <w:szCs w:val="19"/>
          <w:color w:val="231F20"/>
        </w:rPr>
      </w:pPr>
      <w:r>
        <w:rPr>
          <w:rFonts w:ascii="Times New Roman" w:cs="Times New Roman" w:eastAsia="Times New Roman" w:hAnsi="Times New Roman"/>
          <w:sz w:val="19"/>
          <w:szCs w:val="19"/>
          <w:color w:val="231F20"/>
        </w:rPr>
        <w:t>the scope of protection of any patent that may issue from our own or our in-licensed patent applications is unpredictable and may not cover our product candidates or uses thereof in the United States or in other foreign countries;</w:t>
      </w:r>
    </w:p>
    <w:p>
      <w:pPr>
        <w:spacing w:after="0" w:line="39" w:lineRule="exact"/>
        <w:rPr>
          <w:rFonts w:ascii="Arial" w:cs="Arial" w:eastAsia="Arial" w:hAnsi="Arial"/>
          <w:sz w:val="19"/>
          <w:szCs w:val="19"/>
          <w:color w:val="231F20"/>
        </w:rPr>
      </w:pPr>
    </w:p>
    <w:p>
      <w:pPr>
        <w:ind w:left="980" w:right="4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claims of any patent that may issue based on our patent applications may not provide protection against competitors or any competitive advantages, or may be challenged by third parties;</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develop product candidates or technologies that are similar to ours but that are not covered by the claims of the patents that we own or have exclusively licensed;</w:t>
      </w:r>
    </w:p>
    <w:p>
      <w:pPr>
        <w:spacing w:after="0" w:line="64"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our technologies without infringing our intellectual property rights;</w:t>
      </w:r>
    </w:p>
    <w:p>
      <w:pPr>
        <w:spacing w:after="0" w:line="64"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may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need to initiate litigation or administrative proceedings to enforce or defend our patent rights, which will be costly regardless of outcome;</w:t>
      </w:r>
    </w:p>
    <w:p>
      <w:pPr>
        <w:spacing w:after="0" w:line="64" w:lineRule="exact"/>
        <w:rPr>
          <w:rFonts w:ascii="Arial" w:cs="Arial" w:eastAsia="Arial" w:hAnsi="Arial"/>
          <w:sz w:val="20"/>
          <w:szCs w:val="20"/>
          <w:color w:val="231F20"/>
        </w:rPr>
      </w:pPr>
    </w:p>
    <w:p>
      <w:pPr>
        <w:ind w:left="980" w:right="20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own or have exclusively licensed may be revoked or held invalid, unpatentable, unenforceable, or not infringed, including as a result of efforts to enforce our patents and legal challenges;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fail to adequately protect and enforce our rights to our trade secrets and trademarks; and</w:t>
      </w:r>
    </w:p>
    <w:p>
      <w:pPr>
        <w:spacing w:after="0" w:line="133"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patent rights may have an adverse effect on our business, including if these rights claim subject matter similar to or improving upon that covered by our patents and patent applications.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Should any of these events occur, they could significantly harm our business, results of operations, and prospects.</w:t>
      </w:r>
    </w:p>
    <w:p>
      <w:pPr>
        <w:spacing w:after="0" w:line="36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Confidentiality agreements with employees and third parties may not prevent disclosure of trade secrets and other proprietary or confidential information.</w:t>
      </w:r>
    </w:p>
    <w:p>
      <w:pPr>
        <w:spacing w:after="0" w:line="4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unintentional, by our current or former employees, contractors, collaborators, or those of third parties, including those with whom we share our facilities and consultants and vendors that we engage to perform research, clinical trials, or manufacturing activities, or misappropriation (such as through a cybersecurity breach) of our trade secrets or proprietary or confidential information could enable competitors to duplicate or surpass our technological achievements, thus eroding our competitive position in our market. Because we rely and expect to continue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20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Trade secrets and confidential information, however, can be difficult to protect. We seek to protect our trade secrets, know-how, and confidential information, including our proprietary processes, in part, by entering into confidentiality agreements with our employees, consultants, outside scientific advisors, contractors, collaborators, and other third parties. We require our employees to enter into written employment agreements containing provisions of confidentiality and obligations to assign to us any inventions generated in the course of their employment. In addition, we enter into agreements with our consultants, contractors, service providers,</w:t>
      </w:r>
    </w:p>
    <w:p>
      <w:pPr>
        <w:sectPr>
          <w:pgSz w:w="11880" w:h="15480" w:orient="portrait"/>
          <w:cols w:equalWidth="0" w:num="1">
            <w:col w:w="10800"/>
          </w:cols>
          <w:pgMar w:left="540" w:top="750" w:right="540" w:bottom="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800"/>
          </w:cols>
          <w:pgMar w:left="540" w:top="750" w:right="540" w:bottom="0" w:gutter="0" w:footer="0" w:header="0"/>
          <w:type w:val="continuous"/>
        </w:sectPr>
      </w:pPr>
    </w:p>
    <w:bookmarkStart w:id="98" w:name="page99"/>
    <w:bookmarkEnd w:id="98"/>
    <w:p>
      <w:pPr>
        <w:ind w:right="60"/>
        <w:spacing w:after="0" w:line="243" w:lineRule="auto"/>
        <w:rPr>
          <w:sz w:val="20"/>
          <w:szCs w:val="20"/>
          <w:color w:val="auto"/>
        </w:rPr>
      </w:pPr>
      <w:r>
        <w:rPr>
          <w:rFonts w:ascii="Times New Roman" w:cs="Times New Roman" w:eastAsia="Times New Roman" w:hAnsi="Times New Roman"/>
          <w:sz w:val="20"/>
          <w:szCs w:val="20"/>
          <w:color w:val="231F20"/>
        </w:rPr>
        <w:t>and outside scientific collaborators that typically include invention assignment obligations. We cannot guarantee that we have entered into such agreements with each party that may have or has had access to our trade secrets or proprietary or confidential information, including our technology and processes. Although we use reasonable efforts to protect our trade secrets and confidential information, our employees, consultants, outside scientific advisors, contractors, collaborators, and other third parties might intentionally or inadvertently disclose such information to competitors or other third parties, including, as to consultants and advisors, to their primary employers,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or otherwise fail to take advantage of any opportunity to protect such trade secrets or other confidential information, our competitors could use such information to compete with us, which would significantly harm our business.</w:t>
      </w:r>
    </w:p>
    <w:p>
      <w:pPr>
        <w:spacing w:after="0" w:line="206"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231F20"/>
        </w:rPr>
        <w:t>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w:t>
      </w:r>
    </w:p>
    <w:p>
      <w:pPr>
        <w:spacing w:after="0" w:line="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231F20"/>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disclosure of our intellectual property, including confidential information,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326"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Third-party claims of intellectual property infringement against us or our collaborators may prevent or delay our product discovery, development, or commercialization efforts.</w:t>
      </w:r>
    </w:p>
    <w:p>
      <w:pPr>
        <w:spacing w:after="0" w:line="4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and reexamination proceedings before the USPTO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Furthermore, patent reform and changes to patent laws add uncertainty to the possibility of challenge to our patents in the future.</w:t>
      </w:r>
    </w:p>
    <w:p>
      <w:pPr>
        <w:spacing w:after="0" w:line="21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Numerous issued patents and pending patent applications owned by third parties may exist worldwide in the fields in which we are developing our platform technologies and product candidates. We cannot provide any assurances that third-party patent rights that might be enforced against the making, use, or sale of our current product candidates or future products do not exist, which, if they did exist, would result in either an injunction prohibiting our sales, or an obligation to pay royalties on product sales or other forms of compensation to third parties. As the biotechnology and pharmaceutical industries expand and more patents are issued, the risk increases that our product candidates will be subject to claims of infringement of the patent rights of others. Third parties may assert that we infringe their patents or other intellectual property, or that we are otherwise employing their proprietary technology without authorization, and may sue us. There may be third-party patent filings of which we are currently unaware with claims, including claims to compositions, formulations, methods of manufacture, or methods of use or treatment, that cover our product candidates. It is also possible that patent filings owned by third parties of which we are aware, but which we do not believe are relevant to our platform technologies, product candidates, or other proprietary technologies we may develop, could be found to be infringed by our product candidates. Because patent applications can take many years to issue, there may be pending patent applications, including those of which we are unaware, that may later result in issued patents that our product candidates may infringe. In addition, third parties, including our competitors in both the United States and abroad, many of which have substantially greater resources than we do and have made substantial investments in patent portfolios and competing technologies, may obtain patents in the future that prevent, limit, or otherwise interfere with our ability to make, use, and sell our product candidates, and may claim that use of our technologies</w:t>
      </w:r>
    </w:p>
    <w:p>
      <w:pPr>
        <w:sectPr>
          <w:pgSz w:w="11880" w:h="15480" w:orient="portrait"/>
          <w:cols w:equalWidth="0" w:num="1">
            <w:col w:w="10800"/>
          </w:cols>
          <w:pgMar w:left="540" w:top="750" w:right="540" w:bottom="0"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800"/>
          </w:cols>
          <w:pgMar w:left="540" w:top="750" w:right="540" w:bottom="0" w:gutter="0" w:footer="0" w:header="0"/>
          <w:type w:val="continuous"/>
        </w:sectPr>
      </w:pPr>
    </w:p>
    <w:bookmarkStart w:id="99" w:name="page100"/>
    <w:bookmarkEnd w:id="99"/>
    <w:p>
      <w:pPr>
        <w:ind w:right="60"/>
        <w:spacing w:after="0" w:line="244" w:lineRule="auto"/>
        <w:rPr>
          <w:sz w:val="20"/>
          <w:szCs w:val="20"/>
          <w:color w:val="auto"/>
        </w:rPr>
      </w:pPr>
      <w:r>
        <w:rPr>
          <w:rFonts w:ascii="Times New Roman" w:cs="Times New Roman" w:eastAsia="Times New Roman" w:hAnsi="Times New Roman"/>
          <w:sz w:val="20"/>
          <w:szCs w:val="20"/>
          <w:color w:val="231F20"/>
        </w:rPr>
        <w:t>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use, sell, or commercialize the applicable product candidate unless we obtain a license under the applicable patents or other intellectual property, or until such patents expire or are finally determined to be held unpatentable, invalid, or unenforceable. Such a license may not be available on commercially reasonable terms or may not be available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significantly harm our business.</w:t>
      </w:r>
    </w:p>
    <w:p>
      <w:pPr>
        <w:spacing w:after="0" w:line="20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The pharmaceutical and biotechnology industries have produced a considerable number of patents, and it may not always be clear to industry participants, including us, which patents cover the making, use, or sale of various types of products or methods of use. The scope of patent coverage is subject to interpretation by both administrative bodies and the courts, and the interpretation is not always predictable or uniform. If we were sued for patent infringement, we would need to demonstrate that the making, use, or sale of our product candidates, products, or methods either do not infringe the patent claims of the relevant patent or that the patent claims are invalid or unenforceable, which we may not be able to do. Proving invalidity may be difficult. For example, in the United States, proving invalidity in court requires a showing of clear and convincing evidence to overcome the presumption of validity enjoyed by issued patents, and there is no assurance that a court would invalidate the claims of any such patent. Third parties asserting their patent or other intellectual property rights, such as confidential information or trade secrets, against us may also seek and obtain injunctive or other equitable relief, which could effectively block our ability to further develop and commercialize our product candidates or force us to cease some of our business operations. We may not have sufficient resources to bring any of these actions to a successful conclusion. Defense against any of these claims, regardless of their merit and whether we are successful or not, would require us to incur substantial costs and could divert management and other employee resources from our business, cause development delays, and impact our reputation, which could have a material adverse effect on our business and operations.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to do on a cost-effective basis or require substantial time and monetary expenditure. In that event, we would be unable to further develop and commercialize our product candidates, which could harm our business significantly.</w:t>
      </w:r>
    </w:p>
    <w:p>
      <w:pPr>
        <w:spacing w:after="0" w:line="326" w:lineRule="exact"/>
        <w:rPr>
          <w:sz w:val="20"/>
          <w:szCs w:val="20"/>
          <w:color w:val="auto"/>
        </w:rPr>
      </w:pPr>
    </w:p>
    <w:p>
      <w:pPr>
        <w:jc w:val="both"/>
        <w:ind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issued patents and patent applications could be found unpatentable, invalid, or unenforceable if challenged in courts or before an administrative body, and we may be involved in lawsuits to protect or enforce our or our licensors’ patents or other intellectual property. Our participation in any such action could be expensive, time-consuming, and unsuccessful.</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Our issued patents or pending patent applications may be challenged in the courts or patent offices in the United States and abroad. For example, our patent applications may be subject to a third-party pre-issuance submission of prior art to the USPTO, or we may become involved in post-grant review proceedings, opposition or derivation proceedings, reexaminations, or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proceedings, in the United States or elsewhere, challenging our patent rights or the patent rights of others. In addition, interference or derivation proceedings provoked by third parties or brought by the USPTO may be necessary to determine the priority of inventions or the correct inventorship of the inventions claimed in our patents or patent applications or those of our licensors. An unfavorable outcome could result in a loss of our current patent rights and could require us to cease using the related technology or to attempt to license rights from the prevailing party. Our business could be harmed if the prevailing party does not offer us a license on commercially reasonable terms. An adverse determination in any such proceeding may result in loss of exclusivity or in our patent claims being narrowed, invalidated, held unpatentable, or held unenforceable, in whole or in part, which could limit our ability to exclude others from using or commercializing similar or identical technology and products, or limit the duration of the patent protection of, or otherwise no longer protect, our technology and products.</w:t>
      </w:r>
    </w:p>
    <w:p>
      <w:pPr>
        <w:spacing w:after="0" w:line="20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addition, competitors may infringe our or our licensors’ issued patents or other intellectual property. To cease such infringement or unauthorized use, we may be required to initiate patent infringement litigation, which can be expensive and time-consuming and could divert the time and attention of our management and personnel. In such litigation, the defendant could counterclaim that we infringe their patents or that the patent covering our product candidate is invalid, unenforceable, or both. In patent litigation in the United States and abroad, these types of counterclaims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using post-grant proceedings such as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opposition, or derivation proceedings.</w:t>
      </w:r>
    </w:p>
    <w:p>
      <w:pPr>
        <w:spacing w:after="0" w:line="202"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The outcome following legal assertions of unpatentability, invalidity, or unenforceability is unpredictable. In an administrative proceeding, the administrative body may decide that a patent is unpatentable or will be revoked, in whole or in part. In any patent</w:t>
      </w:r>
    </w:p>
    <w:p>
      <w:pPr>
        <w:sectPr>
          <w:pgSz w:w="11880" w:h="15480" w:orient="portrait"/>
          <w:cols w:equalWidth="0" w:num="1">
            <w:col w:w="10800"/>
          </w:cols>
          <w:pgMar w:left="540" w:top="750" w:right="54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800"/>
          </w:cols>
          <w:pgMar w:left="540" w:top="750" w:right="540" w:bottom="0" w:gutter="0" w:footer="0" w:header="0"/>
          <w:type w:val="continuous"/>
        </w:sectPr>
      </w:pPr>
    </w:p>
    <w:bookmarkStart w:id="100" w:name="page101"/>
    <w:bookmarkEnd w:id="100"/>
    <w:p>
      <w:pPr>
        <w:ind w:right="40"/>
        <w:spacing w:after="0" w:line="243" w:lineRule="auto"/>
        <w:rPr>
          <w:sz w:val="20"/>
          <w:szCs w:val="20"/>
          <w:color w:val="auto"/>
        </w:rPr>
      </w:pPr>
      <w:r>
        <w:rPr>
          <w:rFonts w:ascii="Times New Roman" w:cs="Times New Roman" w:eastAsia="Times New Roman" w:hAnsi="Times New Roman"/>
          <w:sz w:val="20"/>
          <w:szCs w:val="20"/>
          <w:color w:val="231F20"/>
        </w:rPr>
        <w:t>infringement proceeding or declaratory judgment action, a court may decide that our or a licensor’s patent is invalid or unenforceable, in whole or in part. In the event of either decision, we would no longer have the right to stop another party from using the invention covered by the relevant patent. There is also a risk that, even if the validity of such a patent is upheld, the court or administrative body will construe the patent’s claims narrowly or decide that we do not have the right to stop the other party from using the invention at issue on the grounds that our patent claims do not cover the invention. The court could also decide that the other party’s use of our patented technology falls under the safe harbor to patent infringement under 35 U.S.C. §271(e)(1). With respect to the validity and patentability of our patents, for example, we cannot be certain that there is no invalidating prior art of which we, our patent counsel, and the patent offices were unaware during prosecution. If a third party were to prevail on a legal assertion of invalidity or unenforceability, we would lose at least part, and perhaps all, of the patent protection for the relevant product candidate, which could limit our ability to assert our patents against that third party and other competitors and prevent us from excluding third parties from making, using, or selling similar or competitive products.</w:t>
      </w:r>
    </w:p>
    <w:p>
      <w:pPr>
        <w:spacing w:after="0" w:line="20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Even if we establish infringement of our or our licensors’ intellectual property, the remedies may be insufficient.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in the course of litigation. In addition, there could be public announcements of the results of hearings, motions, or other interim proceedings or developments. If securities analysts or investors perceive these results to be negative, the price of our common stock could be substantially adversely affected. Litigation, interference, derivation, or other proceedings involving our or our licensors’ intellectual property may result in a decision adverse to our interests and, even if we are successful, may result in substantial costs and distract our management and other employees. Any failure to obtain or maintain patent protection with respect to our product candidates and other technologies, including as a result of such proceedings,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terms of our patents may not be sufficient to effectively protect our products and business.</w:t>
      </w:r>
    </w:p>
    <w:p>
      <w:pPr>
        <w:spacing w:after="0" w:line="114"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Patents have limited terms, and in many jurisdictions worldwide, including the United States, if all maintenance fees are timely paid, the natural expiration of a patent’s term is generally 20 years after its first effective non-provisional filing date. Although various extensions may be available, the term of a patent, and the protection it affords, is limited. Given the significant amount of time required for the development, testing, and regulatory review of new product candidates, patents protecting such product candidates might expire before or shortly after such product candidates are commercialized. Further, any delays in our clinical trials could reduce the period of time during which we could market our product candidates under patent protection. Even if patents covering our product candidates are obtained, once the patent life has expired for a product, we may be open to competition from biosimilar or generic therapies. As a result, our patent portfolio may not provide us with sufficient rights to exclude others from commercializing product candidates similar or identical to ours. Our patents issued as of January 2026 have terms expected to expire on dates ranging from 2029 to 2042, subject to any patent term extensions that may be available. If patents are issued on our patent applications pending as of January 2026, the resulting patents are projected to expire on dates ranging from 2033 to 2046. In addition, although upon issuance in the United States a patent’s term can be increased based on certain delays caused by the USPTO, this increase can be reduced or eliminated based on certain delays caused by the patent applicant during patent prosecution or by failing to timely file a request for patent term adjustment (PTA). A patent term extension based on regulatory delay may also be available in the United States and in certain other foreign jurisdictions. However, in the United States, only a single patent can be extended for each marketing approval, and any patent can be extended only once, for a single product. Moreover, the scope of protection during the period of the patent term extension in the United States does not extend to the full scope of the patent’s claims, but instead only as to the scope of the product as approved. The laws governing analogous patent term extensions in foreign jurisdictions vary widely and many differ from the process in the United States. Additionally, we may not receive a patent term extension if we fail to exercise due diligence during the testing phase or regulatory review process, fail to apply within applicable deadlines, fail to apply prior to expiration of relevant patents, or otherwise fail to satisfy applicable requirements. If we are unable to obtain a patent term extension for any particular patent, or the term of any such extension is less than we request, the period during which we will have the right to exclude others from using the patent rights will be shortened. Our competitors may be able to obtain approval of competing products following our patent expiration and take advantage of our investment in development and clinical trials by referencing our clinical and preclinical data to launch a biosimilar product earlier than might otherwise be the case, which could reduce our revenue, possibly materially. In general, if we do not have sufficient patent term to protect our technologies and product candidates, our business and results of operations will be adversely affected.</w:t>
      </w:r>
    </w:p>
    <w:p>
      <w:pPr>
        <w:spacing w:after="0" w:line="335"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Third parties may challenge the inventorship or ownership of or otherwise assert rights in our patent and other intellectual property rights.</w:t>
      </w:r>
    </w:p>
    <w:p>
      <w:pPr>
        <w:spacing w:after="0" w:line="44" w:lineRule="exact"/>
        <w:rPr>
          <w:sz w:val="20"/>
          <w:szCs w:val="20"/>
          <w:color w:val="auto"/>
        </w:rPr>
      </w:pPr>
    </w:p>
    <w:p>
      <w:pPr>
        <w:ind w:right="20" w:firstLine="490"/>
        <w:spacing w:after="0" w:line="271" w:lineRule="auto"/>
        <w:rPr>
          <w:sz w:val="20"/>
          <w:szCs w:val="20"/>
          <w:color w:val="auto"/>
        </w:rPr>
      </w:pPr>
      <w:r>
        <w:rPr>
          <w:rFonts w:ascii="Times New Roman" w:cs="Times New Roman" w:eastAsia="Times New Roman" w:hAnsi="Times New Roman"/>
          <w:sz w:val="19"/>
          <w:szCs w:val="19"/>
          <w:color w:val="231F20"/>
        </w:rPr>
        <w:t>We may be subject to claims that former employees, collaborators, or other third parties have an ownership interest in our patents or other intellectual property, including as a result of being an inventor or co- inventor. In the United States, the failure to name the proper inventors on a granted patent can result in the patent being unenforceable. Inventorship disputes may arise from conflicting</w:t>
      </w:r>
    </w:p>
    <w:p>
      <w:pPr>
        <w:sectPr>
          <w:pgSz w:w="11880" w:h="15480" w:orient="portrait"/>
          <w:cols w:equalWidth="0" w:num="1">
            <w:col w:w="10780"/>
          </w:cols>
          <w:pgMar w:left="540" w:top="750" w:right="560" w:bottom="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780"/>
          </w:cols>
          <w:pgMar w:left="540" w:top="750" w:right="560" w:bottom="0" w:gutter="0" w:footer="0" w:header="0"/>
          <w:type w:val="continuous"/>
        </w:sectPr>
      </w:pPr>
    </w:p>
    <w:bookmarkStart w:id="101" w:name="page102"/>
    <w:bookmarkEnd w:id="101"/>
    <w:p>
      <w:pPr>
        <w:ind w:right="140"/>
        <w:spacing w:after="0" w:line="237" w:lineRule="auto"/>
        <w:rPr>
          <w:sz w:val="20"/>
          <w:szCs w:val="20"/>
          <w:color w:val="auto"/>
        </w:rPr>
      </w:pPr>
      <w:r>
        <w:rPr>
          <w:rFonts w:ascii="Times New Roman" w:cs="Times New Roman" w:eastAsia="Times New Roman" w:hAnsi="Times New Roman"/>
          <w:sz w:val="20"/>
          <w:szCs w:val="20"/>
          <w:color w:val="231F20"/>
        </w:rPr>
        <w:t>views regarding the contributions made to an invention by the individuals named as inventors, the effects of foreign laws where foreign nationals are involved in the development of the subject matter of the patent, conflicting obligations of third parties involved in developing our product candidates, or questions regarding co- ownership of potential joint inventions. For example, inventorship disputes may arise from conflicting obligations of consultants or others who are involved in developing our technologies or product candidates or related intellectual property. Alternatively, or additionally, we may enter into agreements to clarify the scope of our rights in such intellectual property. Litigation may be necessary to defend against claims challenging or relating to inventorship and ownership of intellectual property rights. Our failure to successfully defend against such claims could result in our obligation to pay monetary damages and loss of valuable intellectual property rights, such as exclusive ownership of, or the right to use, such intellectual property, which could have a material adverse effect on our business. Even if we are successful in defending against such claims, litigation could result in substantial costs and distract management and other employees.</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or our licensors may have relied on third-party consultants or collaborators or on funds from third parties, such as the United States government, such that we or our licensors are not the sole and exclusive owners of the patents that we own or that we have in-licensed. If third parties have ownership or other rights to our patents, including in-licensed patents, they may be able to license such patents to our competitors, enabling such competitors to make, use, or sell competing products and technology. This could have a material adverse effect on our competitive position, business, financial conditions, results of operations, and prospects.</w:t>
      </w:r>
    </w:p>
    <w:p>
      <w:pPr>
        <w:spacing w:after="0" w:line="187"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In addition,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As described elsewhere in these Risk Factors, such claims could be expensive and time-consuming to litigate or defend and could divert the time and attention of our management and other personnel, and we may ultimately be unsuccessful in such efforts, which could have a material adverse effect on our business, financial condition, results of operations, and prospects.</w:t>
      </w:r>
    </w:p>
    <w:p>
      <w:pPr>
        <w:spacing w:after="0" w:line="326"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our employees, consultants, or independent contractors have wrongfully used or disclosed confidential information of third parties.</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have received confidential and proprietary information from third parties. In addition, we employ and engage individuals who were previously employed by or have otherwise provided services for other organizations, including at other biotechnology or pharmaceutical companies or at academic institutions. We may be subject to claims that we or our employees, consultants, or independent contractors have inadvertently or otherwise improperly used or disclosed confidential information of these third parties or organizations. Litigation may be necessary to defend against these claims. Even if we are successful in defending against these claims, litigation could cause us to incur substantial costs and distract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these third parties or organizations. Moreover, any such litigation or the threat thereof may adversely affect our reputation and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32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internal computer systems, or those used by third parties involved in our operations, such as research institution collaborators, CROs, CDMOs, and other service providers, contractors, or consultants, may fail or suffer security breaches or incidents.</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and third parties involved in our operations are increasingly dependent upon information technology systems, infrastructure, and data to operate our business. In the ordinary course of business, we currently and will continue to collect, store, and transmit confidential and proprietary information (including trade secrets or other intellectual property, proprietary business information, including data from our research, preclinical studies, and clinical trials, and personal information). It is critical that we and these third parties do so in a secure manner to maintain the confidentiality, integrity, and availability of such information. For example, we have outsourced elements of our operations to third parties, and as a result we manage a number of third-party vendors that have access to such information, including those that provide information technology and data security systems and services, and we do not have operational control over these third-party vendors. In addition, we currently and may in the future share or exchange confidential or proprietary information with other third parties, such as collaborators, licensors, or strategic partners, none of which we have control over and all of which are subject to security risks similar to those we face. As such, we are subject to risks not only from security incidents involving our own systems and networks, but also those of third parties with whom we work.</w:t>
      </w:r>
    </w:p>
    <w:p>
      <w:pPr>
        <w:sectPr>
          <w:pgSz w:w="11880" w:h="15480" w:orient="portrait"/>
          <w:cols w:equalWidth="0" w:num="1">
            <w:col w:w="10800"/>
          </w:cols>
          <w:pgMar w:left="540" w:top="7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800"/>
          </w:cols>
          <w:pgMar w:left="540" w:top="744" w:right="540" w:bottom="0" w:gutter="0" w:footer="0" w:header="0"/>
          <w:type w:val="continuous"/>
        </w:sectPr>
      </w:pPr>
    </w:p>
    <w:bookmarkStart w:id="102" w:name="page103"/>
    <w:bookmarkEnd w:id="102"/>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Despite the implementation of security measures (including edge technology designed to identify and protect our network from infiltration by third-party systems), our internal computer systems and those of any third parties involved in our operations, including our third-party research institution collaborators, CROs, CDMOs, and other service providers, contractors, and consultants, including vendors of information technology and data security systems and services, are vulnerable to damage and interruptions from cyberattacks, security breaches and incidents, computer viruses, ransomware, fraud, and other compromises and incidents involving or leading to unauthorized access to or loss, modification, unavailability, use, disclosure, or other processing of confidential or proprietary information. This risk may be exacerbated by the availability and continued development and evolution of artificial intelligence and machine learning technologies (AI Technologies), which may enable threat actors to use more sophisticated means to damage or interrupt our systems or those of third parties. In addition, certain systems or components thereof require enhanced or otherwise different security measures, which may require us to invest additional resources and may leave such systems more vulnerable to security compromises or incidents. These compromises and incidents may involve acts by current or former employees, service providers (including providers of information technology-specific services), nation states (including groups associated with or supported by foreign intelligence agencies), organized crime organizations, “hacktivists,” or others. For example, SolarWinds Corporation (SolarWinds), a provider of information technology monitoring and management products and services that we used, experienced a cyberattack in 2020 that was likely the result of a supply chain attack by an outside nation state. We took steps to mitigate the vulnerabilities identified within these products and, following our investigations, concluded that our confidential information was not materially accessed, lost, or stolen as a result of this cyberattack. However, there may be unknown effects from this or other cyberattacks that have occurred or may occur in the future, any of which could have a material negative impact on our business. In addition, in certain cases, we may rely on or incorporate third-party software, code, or other similar materials into our systems, processes, and operations, such as in the case of internal software development, which exposes us to various risks, including that such third-party materials may have harmful components that could enable access and harm to our systems and confidential information. If we are unable to or otherwise do not detect these harmful components, or are unable to manage their effects, our business could be significantly harmed.</w:t>
      </w:r>
    </w:p>
    <w:p>
      <w:pPr>
        <w:spacing w:after="0" w:line="2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addition, the geo-political climate, tensions between the United States and certain countries, including Russia and China, and other geo-political events may increase our vulnerability to such cybersecurity attacks. For example, the conflict between Russia and Ukraine may create heightened threats of ransomware attacks and other cybersecurity threats for certain industries, including healthcare and pharmaceuticals. We continue to monitor and take steps to mitigate this risk, but we cannot ensure that such efforts will be sufficient to protect us from any such cyberattacks or other incidents. In addition, in July 2022, the heads of the FBI and MI5 issued joint warnings regarding the threat posed by China to national security due to the Chinese government’s increasing use of cyber espionage to steal technology from Western corporations and disrupt Western business. Moreover, the biotechnology industry is one of the top industries that China has targeted for domestic growth and development, and it therefore may be a primary target for such cyber espionage efforts. We continue to monitor our systems and upgrade our security capabilities in order to mitigate risk. However, any access to or loss or theft of our confidential information in connection with a future cyberattack could have a material adverse effect on our business.</w:t>
      </w:r>
    </w:p>
    <w:p>
      <w:pPr>
        <w:spacing w:after="0" w:line="20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 security of our network, systems, and information, including data, may also be subject to threats involving misuse by our current or former employees or third parties involved in our operations, including service providers, contractors, vendors, or partners, whether intentional or unintentional. For example, we are subject to the risk that employees may inadvertently share confidential information with unintended third parties, or that departing employees may take, or create their own information based on, our confidential information upon leaving the company. In addition, any such insiders may be the victims of social engineering attacks that enable unauthorized third parties to access our network, systems, and information using an authorized person’s credentials, and such attacks may be more likely to succeed when conducted using AI Technologies. We and our network, systems, and information are also vulnerable to malicious acts by insiders, including leaking, modifying, or deleting confidential information, or performing other acts that could materially interfere with our operations and business. Although we provide regular training to our employees regarding cybersecurity threats and best practices, we cannot ensure that such training or other efforts will prevent unauthorized access to or sabotage of our network, systems, and information.</w:t>
      </w:r>
    </w:p>
    <w:p>
      <w:pPr>
        <w:spacing w:after="0" w:line="20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Although we have not, to our knowledge, experienced any material system failure, accident, or security breach to date, because techniques used to obtain unauthorized access to or to sabotage systems are constantly evolving and generally are not recognized until they are launched against a target, we cannot be sure that our current practices, including our security and data protection efforts and investment in information security and technology will detect or prevent future significant breakdowns, data leakages, breaches in our systems or the systems of third parties involved in our operations, such as service providers, contractors, and collaborators, or other compromises or incidents that could have a material adverse effect upon our reputation, business, operations, or financial condition. Any such event could materially disrupt our operations and programs, delay or otherwise negatively impact the development of our product candidates, and significantly harm our business. To the extent such an event leads to unauthorized access to or loss, modification, unavailability, use, disclosure, or other processing of personal information, including personal information regarding our clinical trial subjects or employees, or any reporting or belief such an event or impact has occurred, this could delay further development and commercialization of our product candidates, harm our reputation directly, require us to comply with federal or state</w:t>
      </w:r>
    </w:p>
    <w:p>
      <w:pPr>
        <w:sectPr>
          <w:pgSz w:w="11880" w:h="15480" w:orient="portrait"/>
          <w:cols w:equalWidth="0" w:num="1">
            <w:col w:w="10800"/>
          </w:cols>
          <w:pgMar w:left="540" w:top="750" w:right="540" w:bottom="0"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800"/>
          </w:cols>
          <w:pgMar w:left="540" w:top="750" w:right="540" w:bottom="0" w:gutter="0" w:footer="0" w:header="0"/>
          <w:type w:val="continuous"/>
        </w:sectPr>
      </w:pPr>
    </w:p>
    <w:bookmarkStart w:id="103" w:name="page104"/>
    <w:bookmarkEnd w:id="103"/>
    <w:p>
      <w:pPr>
        <w:ind w:right="20"/>
        <w:spacing w:after="0" w:line="244" w:lineRule="auto"/>
        <w:rPr>
          <w:sz w:val="20"/>
          <w:szCs w:val="20"/>
          <w:color w:val="auto"/>
        </w:rPr>
      </w:pPr>
      <w:r>
        <w:rPr>
          <w:rFonts w:ascii="Times New Roman" w:cs="Times New Roman" w:eastAsia="Times New Roman" w:hAnsi="Times New Roman"/>
          <w:sz w:val="20"/>
          <w:szCs w:val="20"/>
          <w:color w:val="231F20"/>
        </w:rPr>
        <w:t>breach notification laws and foreign law equivalents, subject us to mandatory corrective action, and otherwise subject us to liability under laws and regulations that protect the privacy and security of personal information. As a result, we could incur significant legal and financial exposure and reputational harm that could have a material adverse effect on our business. In any case, if we experience a cyberattack or security breach or incident, we could incur significant costs to remedy the resulting damage, including costs to deploy additional personnel and security and protection technologies, train employees, and engage third-party experts and consultants. We and the third parties involved in our operations may face difficulties and delays in identifying, responding to, and remediating security breaches and incidents, and we may find it necessary or appropriate to put in place additional measures designed to identify, protect against, and otherwise address cyberattacks and security breaches and incidents. Although we maintain cyber liability insurance, we cannot be certain that our coverage will be adequate for liabilities actually incurred or that insurance will continue to be available to us on commercially reasonable terms or at all.</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In addition, we have entered into and expect to continue to enter into agreements, such as collaboration, license, contract research, manufacturing, clinical trial, and other services agreements, with organizations that operate in certain countries that are at heightened risk of technology, data, and intellectual property theft through direct intrusion by private parties or foreign actors, including those affiliated with or controlled by state actors. If any theft or intrusion affects our technology, data, or intellectual property, the value of such technology, data, or intellectual property to our company may be diminished and our competitive position could be harmed. In such a case, our efforts to protect and enforce our intellectual property rights around the world may be inadequate to obtain a significant commercial advantage from such intellectual property, and we may be at heightened risk of losing our proprietary intellectual property rights around the world, including outside of such countries, to the extent such theft or intrusion destroys the proprietary nature of our intellectual property.</w:t>
      </w:r>
    </w:p>
    <w:p>
      <w:pPr>
        <w:spacing w:after="0" w:line="32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Artificial intelligence and machine learning technologies continue to expand and evolve. If we fail or are unable to take advantage of such technologies or to properly use such technologies, our business and competitive advantage could be harmed.</w:t>
      </w:r>
    </w:p>
    <w:p>
      <w:pPr>
        <w:spacing w:after="0" w:line="49"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231F20"/>
        </w:rPr>
        <w:t>Our personnel, and those of any third parties involved in our operations, including vendors, service providers, collaborators, contractors, and consultants, may develop and use AI Technologies in the course of performing work for us, including generative artificial intelligence technologies (GenAI) that have the ability to output new content and information based on user inputs. GenAI has the potential to benefit our business and operations, possibly significantly, including by potentially creating efficiencies and enabling powerful research and development that may otherwise not be possible, and we may be at a competitive disadvantage if we do not or are unable to use GenAI, or only use it for limited purposes. However, use of GenAI in connection with our confidential, proprietary, or otherwise sensitive information, including personal data, may result in leaks, disclosure, or otherwise unauthorized or unintended access to or use or other processing of such information, including incorporation of such information into the applicable GenAI system or use of such information to further refine and train the GenAI models. Any such access or use, or any improper or inappropriate use, of GenAI could, for example, reveal trade secrets or other confidential information that may enable third parties to replicate or improve upon our technologies and programs, advance their technologies or programs more rapidly than we do, or otherwise negatively impact the value of, or our ability to obtain or maintain, intellectual property rights. Access to and use and other processing of personal data may subject us to risks and potential liability and obligations under applicable data privacy laws, as described elsewhere in these Risk Factors. Although we implement measures designed to prevent the occurrence of such events, such as through policies and employee training, we cannot ensure that such measures will be successful.</w:t>
      </w:r>
    </w:p>
    <w:p>
      <w:pPr>
        <w:spacing w:after="0" w:line="21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Further, we may use the output of GenAI in our technologies, programs, and other aspects of our business, and such output could incorporate third-party intellectual property, or we may otherwise be unable to own, protect, further develop, or ultimately use such output, which could significantly harm our business to the extent such technologies, programs, or other aspects of our business rely upon such output. Such output may also be false, non-sensical, biased, or otherwise harmful to our operations and business if incorporated therein. Further, our ability to use GenAI or further develop or use its output may depend on access to specific third-party software and infrastructure, such as processing hardware or third-party artificial intelligence models, and we cannot control the availability or pricing of such software and infrastructure, especially in a highly competitive environment. We may also face novel and urgent cybersecurity risks and emerging operational, ethical, and societal risks relating to the use of GenAI and other AI Technologies, including with respect to fairness and potential bias, which could adversely affect our operations, assets, including intellectual property and data, and reputation, as well as those of any third parties involved in our operations. There is significant uncertainty with respect to the nature of the laws and regulations that have been and may in the future be adopted, including how such laws and regulations will be interpreted and applied, both within and outside of the United States, with respect to the use of AI Technologies in general, and GenAI in particular, including the ownership of or right to use the output of GenAI. We may need to expend significant resources to modify and maintain our business practices in our efforts to comply with such laws and regulations and to otherwise ensure appropriate and lawful use of AI Technologies, including GenAI and its output, in our technologies, programs, and other aspects of our business. Third parties involved in our operations may face similar challenges, and we and such third parties may be unable to meet evolving legal and regulatory requirements regarding the use of AI Technologies, including GenAI, which could subject us to additional costs and expenses, litigation, regulatory scrutiny, actions, and investigations, reputational damage, and other negative consequences.</w:t>
      </w:r>
    </w:p>
    <w:p>
      <w:pPr>
        <w:sectPr>
          <w:pgSz w:w="11880" w:h="15480" w:orient="portrait"/>
          <w:cols w:equalWidth="0" w:num="1">
            <w:col w:w="10800"/>
          </w:cols>
          <w:pgMar w:left="540" w:top="750" w:right="540" w:bottom="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800"/>
          </w:cols>
          <w:pgMar w:left="540" w:top="750" w:right="540" w:bottom="0" w:gutter="0" w:footer="0" w:header="0"/>
          <w:type w:val="continuous"/>
        </w:sectPr>
      </w:pPr>
    </w:p>
    <w:bookmarkStart w:id="104" w:name="page105"/>
    <w:bookmarkEnd w:id="104"/>
    <w:p>
      <w:pPr>
        <w:ind w:right="2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48"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231F20"/>
        </w:rPr>
        <w:t>We currently and in the future will need to maintain and protect our trademarks and trade names to ensure, among other things, name recognition by potential partners and, if our products receive regulatory approval, customers in our markets of interest. We may not be able to protect our rights in our current or future trademarks and trade names or may be forced to stop using these trademarks or trade names, including as a result of such trademarks and trade names being challenged, infringed, circumvented, or declared generic or descriptive, or being determined to infringe on other marks. In any such case, we may no longer be able to enforce or use our rights in these trademarks and trade names. During trademark registration proceedings, our applications may be rejected by the USPTO or comparable foreign agencies. Although we would be given an opportunity to respond to those rejections, we may be unable to overcome such rejections. In addition, in the USPTO and in many comparable foreign agencies,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collaborators or to third parties, such as distributors. Though these license agreements may provide guidelines for how our trademarks and trade names may be used, a breach of these guidelines or misuse of our trademarks and tradenames by our licensees may jeopardize our rights in or diminish the goodwill associated with our trademarks and trade names.</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Moreover, any name we may propose to use as a trade name for any of our product candidates in the United States must be approved by the FDA, regardless of whether we have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be registerable under applicable trademark laws, not infringe the existing rights of third parties, and be acceptable to the FDA or comparable foreign regulatory authority. Furthermore, in many countries, owning and maintaining a trademark registration may not provide an adequate defense against a subsequent infringement claim asserted by the owner of a senior trademark. At times, competitors or other third parties may adopt trademarks or trade names similar to ours, thereby impeding our ability to build brand identity and possibly leading to market confusion. In addition, there could be potential trademark or trade name infringement claims brought against us by owners of other registered trademarks or trademarks that incorporate variations of our registered or unregistered trademarks or trade names. If we assert trademark infringement claims against third parties,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3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United States and foreign patent law could diminish the value of patents in general, thereby impairing our ability to protect our products.</w:t>
      </w:r>
    </w:p>
    <w:p>
      <w:pPr>
        <w:spacing w:after="0" w:line="49"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 xml:space="preserve">As is the case with other biopharmaceutical companies, our success is heavily dependent on intellectual property, and patent rights in particular. Obtaining and enforcing patents in the biopharmaceutical industry involves both technological and legal complexity and is therefore costly, time-consuming, and inherently uncertain. Changes in either the patent laws or related regulations, or interpretation of such laws or regulations, could increase the uncertainties and costs associated with protection of, and may diminish our ability to protect, our inventions and our ability to obtain, maintain, and enforce our intellectual property rights and, more generally, could adversely affect the value of our intellectual property or narrow the scope of or invalidate our owned and licensed patents. Patent reform legislation in the United States and other countries, including the Leahy-Smith Act signed into law on September 16, 2011, and the implementation thereof could increase uncertainties and costs surrounding the prosecution of our patent applications and the enforcement or defense of our issued patents. The Leahy-Smith Act introduced a number of significant changes to United States patent law. These include provisions that affect the way patent applications are prosecuted, redefine prior art, and provide more efficient and cost-effective avenues for competitors to challenge patents. These include allowing third-party submission of prior art to the USPTO during patent prosecution and additional procedures to attack patents by USPTO-administered post-grant proceedings, including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derivation proceedings. In addition, under the Leahy-Smith Act, the United States transitioned to a first inventor to file system for filings made after March 2013, under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As a result, we must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platform technologies,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if the other party can show that they used the</w:t>
      </w:r>
    </w:p>
    <w:p>
      <w:pPr>
        <w:sectPr>
          <w:pgSz w:w="11880" w:h="15480" w:orient="portrait"/>
          <w:cols w:equalWidth="0" w:num="1">
            <w:col w:w="10800"/>
          </w:cols>
          <w:pgMar w:left="540" w:top="742" w:right="54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800"/>
          </w:cols>
          <w:pgMar w:left="540" w:top="742" w:right="540" w:bottom="0" w:gutter="0" w:footer="0" w:header="0"/>
          <w:type w:val="continuous"/>
        </w:sectPr>
      </w:pPr>
    </w:p>
    <w:bookmarkStart w:id="105" w:name="page106"/>
    <w:bookmarkEnd w:id="105"/>
    <w:p>
      <w:pPr>
        <w:ind w:right="60"/>
        <w:spacing w:after="0" w:line="277" w:lineRule="auto"/>
        <w:rPr>
          <w:sz w:val="20"/>
          <w:szCs w:val="20"/>
          <w:color w:val="auto"/>
        </w:rPr>
      </w:pPr>
      <w:r>
        <w:rPr>
          <w:rFonts w:ascii="Times New Roman" w:cs="Times New Roman" w:eastAsia="Times New Roman" w:hAnsi="Times New Roman"/>
          <w:sz w:val="20"/>
          <w:szCs w:val="20"/>
          <w:color w:val="231F20"/>
        </w:rPr>
        <w:t>invention in commerce before our filing date or the other party benefits from a compulsory license. Any of the foregoing could have a material adverse effect on our business, financial condition, results of operations, and prospects.</w:t>
      </w:r>
    </w:p>
    <w:p>
      <w:pPr>
        <w:spacing w:after="0" w:line="16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addition, in 2012,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spacing w:after="0" w:line="202"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 xml:space="preserve">Furthermore, the patent position of companies in the biopharmaceutical industry is particularly uncertain. Various courts, including the United States Supreme Court, have rendered decisions that could negatively affect the actual or perceived value of patents, such as recent federal district and appellate court rulings that have narrowed the scope of patent protection available in certain circumstances, weakened the rights of patent owners in certain situations, and in certain cases invalidated patents entirely. For example, in its 2023 decision in </w:t>
      </w:r>
      <w:r>
        <w:rPr>
          <w:rFonts w:ascii="Times New Roman" w:cs="Times New Roman" w:eastAsia="Times New Roman" w:hAnsi="Times New Roman"/>
          <w:sz w:val="20"/>
          <w:szCs w:val="20"/>
          <w:i w:val="1"/>
          <w:iCs w:val="1"/>
          <w:color w:val="231F20"/>
        </w:rPr>
        <w:t>Amgen v. Sanofi</w:t>
      </w:r>
      <w:r>
        <w:rPr>
          <w:rFonts w:ascii="Times New Roman" w:cs="Times New Roman" w:eastAsia="Times New Roman" w:hAnsi="Times New Roman"/>
          <w:sz w:val="20"/>
          <w:szCs w:val="20"/>
          <w:color w:val="231F20"/>
        </w:rPr>
        <w:t xml:space="preserve">, the United States Supreme Court held that a functionally-claimed genus was invalid for failing to comply with the enablement requirement of the Patent Act. In addition, the Federal Circuit’s 2023 decision in </w:t>
      </w:r>
      <w:r>
        <w:rPr>
          <w:rFonts w:ascii="Times New Roman" w:cs="Times New Roman" w:eastAsia="Times New Roman" w:hAnsi="Times New Roman"/>
          <w:sz w:val="20"/>
          <w:szCs w:val="20"/>
          <w:i w:val="1"/>
          <w:iCs w:val="1"/>
          <w:color w:val="231F20"/>
        </w:rPr>
        <w:t>In re: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Cellect, LLC</w:t>
      </w:r>
      <w:r>
        <w:rPr>
          <w:rFonts w:ascii="Times New Roman" w:cs="Times New Roman" w:eastAsia="Times New Roman" w:hAnsi="Times New Roman"/>
          <w:sz w:val="20"/>
          <w:szCs w:val="20"/>
          <w:color w:val="231F20"/>
        </w:rPr>
        <w:t>, which considered the interaction of PTAs, terminal disclaimers, and obvious -type double patenting, may negatively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affect the patent term of any issued patents that rely on any PTA.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could weaken our ability to obtain new patents or to enforce our existing patents and patents that we might obtain in the future. For example, in the 2013 case </w:t>
      </w:r>
      <w:r>
        <w:rPr>
          <w:rFonts w:ascii="Times New Roman" w:cs="Times New Roman" w:eastAsia="Times New Roman" w:hAnsi="Times New Roman"/>
          <w:sz w:val="20"/>
          <w:szCs w:val="20"/>
          <w:i w:val="1"/>
          <w:iCs w:val="1"/>
          <w:color w:val="231F20"/>
        </w:rPr>
        <w:t>Assoc. for Molecular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Pathology v. Myriad Genetics, Inc.</w:t>
      </w:r>
      <w:r>
        <w:rPr>
          <w:rFonts w:ascii="Times New Roman" w:cs="Times New Roman" w:eastAsia="Times New Roman" w:hAnsi="Times New Roman"/>
          <w:sz w:val="20"/>
          <w:szCs w:val="20"/>
          <w:color w:val="231F20"/>
        </w:rPr>
        <w:t>, the United States Supreme Court held that certain claims to naturally occurring substances are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patentable. Although we do not believe that any of the patents owned or licensed by us will be found invalid based on this decision, we cannot predict how future decisions by Congress, the federal courts, the USPTO, or the relevant law-making bodies in other countries may impact the value of our patents. For example, the Inflation Reduction Act (IRA) authorizes the Secretary of the Department of Health and Human Services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and to what extent it will affect our longer-term patent strategy or our business. Additionally, in July 2025, the FDA announced its intent to increase transparency by publicly releasing complete response letters (CRLs) issued to drug and biologic sponsors, and subsequently announced it would release in “real time” newly issued CRLs. CRLs, which are issued when a BLA or New Drug Application cannot be accepted in its current form, outline the reasons for non-approval and may contain confidential or proprietary information relating to the applicant’s product, including clinical trial, manufacturing, and technical information, including specific observations about study design and clinical endpoints. Although the FDA has stated that confidential information will be redacted, it remains unclear how such disclosures will be implemented. Any public release of a CRL issued to us could result in the unintentional disclosure of information that competitors may use to infer proprietary aspects of our or our licensor’s technologies, which could compromise our confidential and proprietary information, including our trade secrets and know-how, or facilitate third-party efforts to design around or challenge the validity, enforceability, or scope of our patents, or accelerate the development of biosimilars. If we are required to modify or limit the information shared with the FDA to mitigate such risks, it could increase our costs, slow our regulatory interactions, or delay our product approval timelines. Accordingly, evolving laws, regulations, and policies in the United States and other countries may adversely affect our and our licensors’ ability to obtain new patents or to enforce existing patents and may facilitate third-party challenges to any of our owned or licensed patents.</w:t>
      </w:r>
    </w:p>
    <w:p>
      <w:pPr>
        <w:spacing w:after="0" w:line="32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19"/>
          <w:szCs w:val="19"/>
          <w:color w:val="231F20"/>
        </w:rPr>
        <w:t>The USPTO and foreign governmental patent agencies require compliance with a number of procedural, documentary, fee payment, and other similar requirements during the patent application process. Additionally, periodic maintenance fees on any issued patent must be paid to the USPTO and foreign patent agencies in several stages over the lifetime of the patent. We employ reputable law firms and other professionals to help us comply, and in many cases, an inadvertent lapse can in many cases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 failure to perfect a priority claim, abandonment, or lapse of a patent or patent application include failure to respond to official actions within prescribed time limits, failure to pay fees, and failure to properly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10780"/>
          </w:cols>
          <w:pgMar w:left="540" w:top="750" w:right="560" w:bottom="0" w:gutter="0" w:footer="0" w:header="0"/>
          <w:type w:val="continuous"/>
        </w:sectPr>
      </w:pPr>
    </w:p>
    <w:bookmarkStart w:id="106" w:name="page107"/>
    <w:bookmarkEnd w:id="106"/>
    <w:p>
      <w:pPr>
        <w:ind w:right="480"/>
        <w:spacing w:after="0" w:line="277" w:lineRule="auto"/>
        <w:rPr>
          <w:sz w:val="20"/>
          <w:szCs w:val="20"/>
          <w:color w:val="auto"/>
        </w:rPr>
      </w:pPr>
      <w:r>
        <w:rPr>
          <w:rFonts w:ascii="Times New Roman" w:cs="Times New Roman" w:eastAsia="Times New Roman" w:hAnsi="Times New Roman"/>
          <w:sz w:val="20"/>
          <w:szCs w:val="20"/>
          <w:color w:val="231F20"/>
        </w:rPr>
        <w:t>legalize and submit formal documents. In any such event, our competitors might be able to enter the market, which would have a material adverse effect on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Regulatory Environment</w:t>
      </w:r>
    </w:p>
    <w:p>
      <w:pPr>
        <w:spacing w:after="0" w:line="12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The development and commercialization of biopharmaceutical products is subject to extensive regulation, and the regulatory approval processes of the FDA and comparable foreign regulatory authorities are lengthy, time-consuming, and inherently unpredictable. If we are unable to obtain regulatory approval for our product candidates on a timely basis, or at all, our business will be substantially harmed.</w:t>
      </w:r>
    </w:p>
    <w:p>
      <w:pPr>
        <w:spacing w:after="0" w:line="74"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In the United States, marketing approval of biologics requires the submission of a BLA to, and approval of such BLA by, the FDA, before a party can market any product candidate in the United States. A BLA must be supported by extensive clinical and preclinical data, as well as extensive information regarding pharmacology, chemistry, manufacturing, and controls. Outside the United States, many comparable foreign regulatory authorities employ similar approval processes. Any issues encountered by such regulatory authorities, including as a result of any prolonged government shutdown, could delay or otherwise negatively impact the development and commercialization of our product candidates. For example, changes in leadership, closures of government agencies, loss of key personnel, and staffing shortages, furloughs, lapses in government appropriations or funding, or other disruptions could increase the time required for interactions with regulatory authorities, including with respect to the review, acceptance, or approval of regulatory applications or other correspondence or submissions related to our product candidates, as well as our patent or other intellectual property applications, and could also result in delays in the interpretation and implementation of important laws and regulations relevant to our business. In addition, there is uncertainty regarding how the FDA and other government agencies may evolve in the coming years, as well as with respect to the regulatory approval process for biopharmaceutical products. For example, in January 2025, an executive order entitled “Unleashing Prosperity Through Deregulation” called for at least ten existing regulations to be repealed whenever an executive department or agency publicly proposes for notice and comment or otherwise promulgates a new regulation. There have also been numerous developments at the FDA under the current government administration, including implementation of a GenAI tool, referred to as Elsa, across all centers at the FDA, announcement of a plan to phase out animal testing for certain drugs, and the announcement of a new Commissioner’s National Priority Voucher (CNPV) pilot program to accelerate the development and review of products that are aligned with United States national health priorities and interests. The FDA has also increased its scrutiny of foreign drug manufacturing facilities and other contractors, in particular with respect to the transfer of Americans’ biological materials and genetic and other sensitive data to parties located in China. We cannot fully predict how developments such as those described above, including any future developments, will impact our business.</w:t>
      </w:r>
    </w:p>
    <w:p>
      <w:pPr>
        <w:spacing w:after="0" w:line="2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To date, we have not submitted a BLA to the FDA or similar applications to comparable foreign regulatory authorities for any product candidate,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or any other application for marketing approval. Further, the FDA has not yet granted approval for a therapeutic derived from stem cells, which we believe may increase the complexity, uncertainty, and length of the regulatory approval process for certain of our product candidates developed using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platform. In addition, the FDA has the authority to require a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product candidates could fail to receive regulatory approval for many reasons, including the following:</w:t>
      </w:r>
    </w:p>
    <w:p>
      <w:pPr>
        <w:spacing w:after="0" w:line="134" w:lineRule="exact"/>
        <w:rPr>
          <w:sz w:val="20"/>
          <w:szCs w:val="20"/>
          <w:color w:val="auto"/>
        </w:rPr>
      </w:pPr>
    </w:p>
    <w:p>
      <w:pPr>
        <w:ind w:left="980" w:right="460" w:hanging="490"/>
        <w:spacing w:after="0" w:line="276" w:lineRule="auto"/>
        <w:tabs>
          <w:tab w:leader="none" w:pos="98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disagree with the design or implementation of our clinical trials;</w:t>
      </w:r>
    </w:p>
    <w:p>
      <w:pPr>
        <w:spacing w:after="0" w:line="64" w:lineRule="exact"/>
        <w:rPr>
          <w:rFonts w:ascii="Arial" w:cs="Arial" w:eastAsia="Arial" w:hAnsi="Arial"/>
          <w:sz w:val="20"/>
          <w:szCs w:val="20"/>
          <w:color w:val="231F20"/>
        </w:rPr>
      </w:pPr>
    </w:p>
    <w:p>
      <w:pPr>
        <w:ind w:left="980" w:right="260" w:hanging="490"/>
        <w:spacing w:after="0" w:line="258" w:lineRule="auto"/>
        <w:tabs>
          <w:tab w:leader="none" w:pos="98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w:t>
      </w:r>
    </w:p>
    <w:p>
      <w:pPr>
        <w:spacing w:after="0" w:line="81" w:lineRule="exact"/>
        <w:rPr>
          <w:rFonts w:ascii="Arial" w:cs="Arial" w:eastAsia="Arial" w:hAnsi="Arial"/>
          <w:sz w:val="20"/>
          <w:szCs w:val="20"/>
          <w:color w:val="231F20"/>
        </w:rPr>
      </w:pPr>
    </w:p>
    <w:p>
      <w:pPr>
        <w:ind w:left="980" w:right="240" w:hanging="490"/>
        <w:spacing w:after="0" w:line="276" w:lineRule="auto"/>
        <w:tabs>
          <w:tab w:leader="none" w:pos="98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that a product candidate’s clinical and other benefits outweigh its safety risks;</w:t>
      </w:r>
    </w:p>
    <w:p>
      <w:pPr>
        <w:sectPr>
          <w:pgSz w:w="11880" w:h="15480" w:orient="portrait"/>
          <w:cols w:equalWidth="0" w:num="1">
            <w:col w:w="10800"/>
          </w:cols>
          <w:pgMar w:left="540" w:top="750" w:right="540"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10800"/>
          </w:cols>
          <w:pgMar w:left="540" w:top="750" w:right="540" w:bottom="0" w:gutter="0" w:footer="0" w:header="0"/>
          <w:type w:val="continuous"/>
        </w:sectPr>
      </w:pPr>
    </w:p>
    <w:bookmarkStart w:id="107" w:name="page108"/>
    <w:bookmarkEnd w:id="107"/>
    <w:p>
      <w:pPr>
        <w:ind w:left="980" w:right="20" w:hanging="490"/>
        <w:spacing w:after="0" w:line="276"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231F20"/>
        </w:rPr>
      </w:pPr>
    </w:p>
    <w:p>
      <w:pPr>
        <w:ind w:left="980" w:right="260" w:hanging="490"/>
        <w:spacing w:after="0" w:line="258"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data collected from clinical trials may not be sufficient to support the submission of a BLA or other comparable foreign submission or to obtain regulatory approval in the United States or elsewhere, or regulatory authorities may not accept a submission due to, among other reasons, the content or formatting of the submission;</w:t>
      </w:r>
    </w:p>
    <w:p>
      <w:pPr>
        <w:spacing w:after="0" w:line="81"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fail to approve our manufacturing processes or facilities or those of CDMOs with which we contract for clinical and commercial product supply; and</w:t>
      </w:r>
    </w:p>
    <w:p>
      <w:pPr>
        <w:spacing w:after="0" w:line="64" w:lineRule="exact"/>
        <w:rPr>
          <w:rFonts w:ascii="Arial" w:cs="Arial" w:eastAsia="Arial" w:hAnsi="Arial"/>
          <w:sz w:val="20"/>
          <w:szCs w:val="20"/>
          <w:color w:val="231F20"/>
        </w:rPr>
      </w:pPr>
    </w:p>
    <w:p>
      <w:pPr>
        <w:ind w:left="980" w:right="60" w:hanging="490"/>
        <w:spacing w:after="0" w:line="258"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approval policies or regulations of the FDA or comparable foreign regulatory authorities may change in a manner that renders our clinical data insufficient for approval, including, for example, as a result of positive or negative data from third parties regarding other products or product candidates.</w:t>
      </w:r>
    </w:p>
    <w:p>
      <w:pPr>
        <w:spacing w:after="0" w:line="187" w:lineRule="exact"/>
        <w:rPr>
          <w:sz w:val="20"/>
          <w:szCs w:val="20"/>
          <w:color w:val="auto"/>
        </w:rPr>
      </w:pPr>
    </w:p>
    <w:p>
      <w:pPr>
        <w:ind w:right="80" w:firstLine="490"/>
        <w:spacing w:after="0" w:line="241" w:lineRule="auto"/>
        <w:rPr>
          <w:sz w:val="20"/>
          <w:szCs w:val="20"/>
          <w:color w:val="auto"/>
        </w:rPr>
      </w:pPr>
      <w:r>
        <w:rPr>
          <w:rFonts w:ascii="Times New Roman" w:cs="Times New Roman" w:eastAsia="Times New Roman" w:hAnsi="Times New Roman"/>
          <w:sz w:val="20"/>
          <w:szCs w:val="20"/>
          <w:color w:val="231F20"/>
        </w:rPr>
        <w:t>The lengthy approval process, as well as the unpredictability of clinical trial results, may prevent us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and certain regulatory authorities may more closely scrutinize our data, including our processes for maintaining the integrity of and disseminating such data, in particular, as our product candidates advance into later stages of development. We may be required to conduct additional preclinical studies, alter our proposed clinical trial designs, or conduct additional clinical trials to satisfy the regulatory authorities in each of the jurisdictions in which we hope to conduct clinical trials and develop and, if approved, market our products. In addition, from time to time, the FDA and other governmental or regulatory authorities across jurisdictions may adopt or promulgate laws, regulations, guidance, standards, or policies, or issue communications in areas applicable to various aspects of our research and development programs. Our efforts to comply with or address such laws, regulations, guidance, standards, policies, or communications could increase the time and expense required, or make it more difficult, to complete development activities and ultimately obtain regulatory approval for our product candidates. Further, certain of such laws, regulations, guidance, standards, policies, or communications may be subject to varying interpretations, which may increase our risk of potential noncompliance. Additionally, as discussed elsewhere in these Risk Factors, the FDA’s “real-time” release of newly issued CRLs, if received for any of our product candidates, could materially harm our business. In such a case, the deficiencies in our BLA may be publicly disclosed before we have an opportunity to fully evaluate or address them, and even if a CRL contains redactions, our confidential or proprietary information may be revealed, which could harm our intellectual property strategy and competitive position, trigger disclosure requirements, and increase our exposure to potential litigation.</w:t>
      </w:r>
    </w:p>
    <w:p>
      <w:pPr>
        <w:spacing w:after="0" w:line="2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or may approve such product with a label that does not include the labeling claims necessary or desirable for the successful commercialization of that product. Notably, to date, the FDA has required that any patient receiving a gene therapy be followed for 15 years post-treatment. This post -treatment follow-up, and any other requirements that the FDA or other regulatory authorities may impose for gene or cell therapy products, increases the cost and complexity of developing and ultimately commercializing such products. Any of the foregoing scenarios could materially harm the commercial prospects for our product candidates.</w:t>
      </w:r>
    </w:p>
    <w:p>
      <w:pPr>
        <w:spacing w:after="0" w:line="32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Certain of our product candidates may require or otherwise benefit from use of a companion diagnostic to such product candidate for efficacy, safety, or other reasons. If we or our collaborators are unable to successfully develop and obtain regulatory approval for any necessary companion diagnostics for these product candidates, or experience significant delays in doing so, we may be unable to obtain regulatory approval for, commercialize, and generate revenue from such product candidates or be unable to realize their full commercial potential.</w:t>
      </w:r>
    </w:p>
    <w:p>
      <w:pPr>
        <w:spacing w:after="0" w:line="77"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Certain of our product candidates may require or otherwise benefit from use of a companion diagnostic to such product candidate for efficacy, safety, or other reasons. In such cases, the FDA and comparable foreign regulatory authorities may require the development and regulatory approval or clearance of at least one companion diagnostic as a condition to approving such product candidate for use in the relevant patient population. We do not have experience in or capabilities for developing or commercializing companion diagnostics and expect that, if companion diagnostics are needed for our product candidates and satisfactory companion diagnostics are not commercially available, we will need to collaborate with third-party diagnostic development collaborators to perform these functions. The process of identifying suitable collaborators and developing and obtaining approval or clearance for companion diagnostics is lengthy, costly, uncertain, and time-consuming.</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10780"/>
          </w:cols>
          <w:pgMar w:left="540" w:top="764" w:right="560" w:bottom="0" w:gutter="0" w:footer="0" w:header="0"/>
          <w:type w:val="continuous"/>
        </w:sectPr>
      </w:pPr>
    </w:p>
    <w:bookmarkStart w:id="108" w:name="page109"/>
    <w:bookmarkEnd w:id="108"/>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Companion diagnostics are subject to regulation by the FDA and comparable foreign regulatory authorities as medical devices and may require separate regulatory approval prior to commercialization. The approval or clearance of a companion diagnostic as part of a therapeutic product’s further labeling limits the use of the therapeutic product to only those patients who express the specific characteristic that the companion diagnostic was developed to detect. For any companion diagnostic developed for use with one of our product candidates, we or our collaboration partners may experience delays in obtaining or may be unable to obtain regulatory approval or clearance for or be able to continue marketing of such companion diagnostic for various reasons, such as difficulties in manufacturing, technology transfer activities, or obtaining adequate third-party reimbursement, which could harm our business. If we or our collaboration partners are unable to obtain necessary regulatory approvals or clearance for companion diagnostics necessary for our product candidates or experience delays in doing so, we may suffer significant negative consequences that could harm our business, possibly materially, including:</w:t>
      </w:r>
    </w:p>
    <w:p>
      <w:pPr>
        <w:spacing w:after="0" w:line="96" w:lineRule="exact"/>
        <w:rPr>
          <w:sz w:val="20"/>
          <w:szCs w:val="20"/>
          <w:color w:val="auto"/>
        </w:rPr>
      </w:pPr>
    </w:p>
    <w:p>
      <w:pPr>
        <w:ind w:left="980" w:hanging="490"/>
        <w:spacing w:after="0"/>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successfully complete clinical trials of the applicable product candidate;</w:t>
      </w:r>
    </w:p>
    <w:p>
      <w:pPr>
        <w:spacing w:after="0" w:line="133"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applicable product candidate may not receive marketing approval on a timely basis or at all, if its safe and effective use depends on use of a companion diagnostic; or</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realize the full commercial potential of the applicable product candidate.</w:t>
      </w:r>
    </w:p>
    <w:p>
      <w:pPr>
        <w:spacing w:after="0" w:line="35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may attempt to secure approval from the FDA or comparable foreign regulatory authorities through accelerated approval pathways. If we are unable to obtain such approval, we may be required to conduct additional preclinical or clinical studies, or additional data analysis from prior studies, beyond those that we contemplate, which could increase the expense of obtaining, and delay the receipt of, necessary marketing approvals. Even if we receive approval through the FDA’s accelerated approval pathway, if our confirmatory trials or additional analysis do not verify clinical benefit, or if we do not comply with rigorous post-marketing requirements, the FDA may seek to withdraw any accelerated approval we have obtained.</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may in the future seek accelerated approval for one or more of our product candidates. Under the FDA’s Accelerated Approval Program, the FDA may grant accelerated approval to a product candidate designed to treat a serious or life-threatening condition that is reasonably likely to provide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typically contingent on the sponsor’s agreement to conduct, in a diligent manner, additional confirmatory studies or additional data analysis from prior studies to verify and describe the drug’s clinical benefit. If such post-approval confirmatory studies or additional analyses fail to confirm the drug’s clinical benefit or are not completed in a timely manner or at all, the FDA may withdraw its approval of the drug on an expedited basis.</w:t>
      </w:r>
    </w:p>
    <w:p>
      <w:pPr>
        <w:spacing w:after="0" w:line="20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In response to certain concerns regarding the current accelerated approval pathway, Congress has considered and may in the future consider legislation that could change aspects of the accelerated approval pathway, including in ways that may have uncertain outcomes. For example, in December 2022, President Biden signed an omnibus appropriations bill to fund the United States government through fiscal year 2023, included in which is the Food and Drug Omnibus Reform Act of 2022, which, among other things, introduced reforms intended to expand the FDA’s ability to regulate products receiving accelerated approval, including by increasing the FDA’s oversight over the conduct of confirmatory studies, such as requiring the FDA to specify conditions for post-approval study requirements and setting forth procedures for the FDA to withdraw a product on an expedited basis for noncompliance with post-approval requirements. To the extent the FDA requires us to amend the design of our clinical trials or requires additional trials to meet changes in the data requirements for approval, our clinical timelines and approval will be delayed, which could have an adverse effect on our business and operations. However, the ultimate impact of these reforms remains unclear. In addition, there is uncertainty regarding the extent to which reimbursement will be available for products that receive approval through this pathway. As a result, even if we obtain approval for a product candidate through this pathway, we may not receive reimbursement at the levels we expect, which could harm our ability to generate revenue and achieve or sustain profitability. The future of the Accelerated Approval Program and any other existing or potential future accelerated approval pathways, such as the CNPV pilot program described elsewhere in these Risk Factors, is uncertain, and we cannot predict which, if any, additional changes Congress, the FDA, or other governmental authorities will make, when such changes will be adopted, or how existing or future changes will affect our business. Any such changes may alter the applicable approval requirements in ways that make it more difficult or otherwise negatively impact</w:t>
      </w:r>
    </w:p>
    <w:p>
      <w:pPr>
        <w:sectPr>
          <w:pgSz w:w="11880" w:h="15480" w:orient="portrait"/>
          <w:cols w:equalWidth="0" w:num="1">
            <w:col w:w="10780"/>
          </w:cols>
          <w:pgMar w:left="540" w:top="750" w:right="560" w:bottom="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10780"/>
          </w:cols>
          <w:pgMar w:left="540" w:top="750" w:right="560" w:bottom="0" w:gutter="0" w:footer="0" w:header="0"/>
          <w:type w:val="continuous"/>
        </w:sectPr>
      </w:pPr>
    </w:p>
    <w:bookmarkStart w:id="109" w:name="page110"/>
    <w:bookmarkEnd w:id="109"/>
    <w:p>
      <w:pPr>
        <w:ind w:right="20"/>
        <w:spacing w:after="0" w:line="258" w:lineRule="auto"/>
        <w:rPr>
          <w:sz w:val="20"/>
          <w:szCs w:val="20"/>
          <w:color w:val="auto"/>
        </w:rPr>
      </w:pPr>
      <w:r>
        <w:rPr>
          <w:rFonts w:ascii="Times New Roman" w:cs="Times New Roman" w:eastAsia="Times New Roman" w:hAnsi="Times New Roman"/>
          <w:sz w:val="20"/>
          <w:szCs w:val="20"/>
          <w:color w:val="231F20"/>
        </w:rPr>
        <w:t>our ability to obtain accelerated approval for our product candidates, and could increase the burden of compliance with post-marketing requirements, each of which could increase our costs and harm our ability to commercialize our products and achieve and sustain profitability.</w:t>
      </w:r>
    </w:p>
    <w:p>
      <w:pPr>
        <w:spacing w:after="0" w:line="17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Prior to seeking accelerated approval for any of our product candidates, we intend to seek feedback from the FDA or comparable foreign regulatory authorities and will otherwise evaluate our ability to seek and receive accelerated approval. There can be no assurance that, after our evaluation of the feedback and other factors, we will decide or be permitted to pursue or submit a BLA for accelerated approval or any other form of expedited development, review, or approval, or that, if we decide to pursue any such pathway, our applications will be granted on a timely basis or at all. The FDA or other comparable foreign regulatory authorities could also require us to conduct further studies prior to considering our application or granting approval of any type. In addition, even if we are able to obtain accelerated approval or any other form of expedited approval for any of our product candidates, we may not obtain such approval in a timely manner or otherwise in accordance with our timelines, and the costs of obtaining such approval and performing any additional studies or analysis may be higher than we currently anticipate. Further, if the results of any such additional studies or analysis do not ultimately support full regulatory approval of the applicable product, it may be withdrawn from the market, which could harm our ability to generate revenue and otherwise negatively impact our business and financial prospects. A failure to obtain, or delay in obtaining, accelerated approval or any other form of expedited development, review, or approval for any of our product candidates would extend the period of time until commercialization, if any, of such product candidate, could increase the cost of development of such product candidate beyond what we anticipate, and could harm our competitive position in the marketplace.</w:t>
      </w:r>
    </w:p>
    <w:p>
      <w:pPr>
        <w:spacing w:after="0" w:line="3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Even if our product candidates receive regulatory approval, we and such products will be subject to ongoing obligations and continued regulatory review, which may require us to incur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legal and regulatory requirements. These requirements include submission of safety and other post-marketing information and reports, registration, as well as continued compliance with cGMP and GCP regulations for any clinical trials that we may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approved product. Compliance with the requirements and limitations described in this paragraph, or any issues that arise in connection with such compliance, may require us to incur significant expense and limit our ability to timely and successfully commercialize our products.</w:t>
      </w:r>
    </w:p>
    <w:p>
      <w:pPr>
        <w:spacing w:after="0" w:line="20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Manufacturers and their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 regulations for the use of human cellular and tissue products to prevent the introduction, transmission, or spread of communicable diseases. As such, we and our CDMOs will be subject to continual review and inspections to assess compliance with cGMP and cGTP regulations and adherence to commitments made in any approved marketing application. Accordingly, we and third parties that we engage or with which we conduct business must continue to expend time, money, and effort in all areas of regulatory compliance, including manufacturing, quality control, and distribution.</w:t>
      </w:r>
    </w:p>
    <w:p>
      <w:pPr>
        <w:spacing w:after="0" w:line="20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In addition, if we obtain approval for any of our product candidates, our product labeling, advertising, and promotion will be subject to stringent legal and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significant liability. The FDA and other agencies actively enforce the laws and regulations prohibiting the promotion of off-label uses, and a company that is found to have improperly promoted off-label uses may be subject to significant sanctions and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ectPr>
          <w:pgSz w:w="11880" w:h="15480" w:orient="portrait"/>
          <w:cols w:equalWidth="0" w:num="1">
            <w:col w:w="10800"/>
          </w:cols>
          <w:pgMar w:left="540" w:top="750" w:right="54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10800"/>
          </w:cols>
          <w:pgMar w:left="540" w:top="750" w:right="540" w:bottom="0" w:gutter="0" w:footer="0" w:header="0"/>
          <w:type w:val="continuous"/>
        </w:sectPr>
      </w:pPr>
    </w:p>
    <w:bookmarkStart w:id="110" w:name="page111"/>
    <w:bookmarkEnd w:id="110"/>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If there are changes in the application of legislation or regulatory policies, or a regulatory authority subsequently discovers problems with a product, such as adverse events of unanticipated severity or frequency, or problems with the manufacturing of such product, including the facility where it is manufactured, or disagrees with the promotion, marketing, or labeling of a product, such regulatory authority may impose restrictions on that product or us, including requiring withdrawal of the product from the market. If we or one of our distributors, licensees, or co-marketers fail to comply with applicable legal or regulatory requirements, a regulatory authority may, among other things:</w:t>
      </w:r>
    </w:p>
    <w:p>
      <w:pPr>
        <w:spacing w:after="0" w:line="94" w:lineRule="exact"/>
        <w:rPr>
          <w:sz w:val="20"/>
          <w:szCs w:val="20"/>
          <w:color w:val="auto"/>
        </w:rPr>
      </w:pPr>
    </w:p>
    <w:p>
      <w:pPr>
        <w:ind w:left="980" w:hanging="490"/>
        <w:spacing w:after="0"/>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issue warning or untitled letters;</w:t>
      </w:r>
    </w:p>
    <w:p>
      <w:pPr>
        <w:spacing w:after="0" w:line="133"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issue, or require us to issue, safety-related communications, such as safety alerts, field alerts, “Dear Doctor” letters to healthcare professionals, or import alerts;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impose civil or criminal fines or penalties;</w:t>
      </w:r>
    </w:p>
    <w:p>
      <w:pPr>
        <w:spacing w:after="0" w:line="133"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suspend, limit, or withdraw regulatory approval, which could require us to conduct additional clinical trials, change our product labeling, or submit additional applications for regulatory approval;</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suspend any of our preclinical studies and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refuse to approve our pending applications or supplements to approved applications;</w:t>
      </w:r>
    </w:p>
    <w:p>
      <w:pPr>
        <w:spacing w:after="0" w:line="133" w:lineRule="exact"/>
        <w:rPr>
          <w:rFonts w:ascii="Arial" w:cs="Arial" w:eastAsia="Arial" w:hAnsi="Arial"/>
          <w:sz w:val="20"/>
          <w:szCs w:val="20"/>
          <w:color w:val="231F20"/>
        </w:rPr>
      </w:pPr>
    </w:p>
    <w:p>
      <w:pPr>
        <w:ind w:left="980" w:right="560" w:hanging="490"/>
        <w:spacing w:after="0" w:line="276" w:lineRule="auto"/>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conduct inquiries or investigations, which could require us to expend significant time and resources in response and generate negative publicity;</w:t>
      </w:r>
    </w:p>
    <w:p>
      <w:pPr>
        <w:spacing w:after="0" w:line="64" w:lineRule="exact"/>
        <w:rPr>
          <w:rFonts w:ascii="Arial" w:cs="Arial" w:eastAsia="Arial" w:hAnsi="Arial"/>
          <w:sz w:val="20"/>
          <w:szCs w:val="20"/>
          <w:color w:val="231F20"/>
        </w:rPr>
      </w:pPr>
    </w:p>
    <w:p>
      <w:pPr>
        <w:ind w:left="980" w:right="780" w:hanging="490"/>
        <w:spacing w:after="0" w:line="276" w:lineRule="auto"/>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impose restrictions on our operations, the product, or its manufacture, including requiring us to close our and our CDMOs’ facilities; or</w:t>
      </w:r>
    </w:p>
    <w:p>
      <w:pPr>
        <w:spacing w:after="0" w:line="64"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impose regulatory sanctions, seize or detain products, refuse to permit the import or export of products, or require us to conduct a product recall or remove the product from the market.</w:t>
      </w:r>
    </w:p>
    <w:p>
      <w:pPr>
        <w:spacing w:after="0" w:line="1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any of these events were to occur or if we otherwise fail to comply with ongoing legal and regulatory requirements, our ability to commercialize and generate revenue from our product candidates could be significantly impaired and we may incur substantial additional expense, which could materially adversely affect our business, financial condition, results of operations, and the overall value of our company. Moreover,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3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Disruptions at the FDA and other government agencies caused by funding shortages, global health concerns, government shutdowns, lapses in government appropriations or funding, or other factors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ability of the FDA to review and approve new products may be affected by a variety of factors, including government budget and funding levels, changes in federal agency leadership, statutory, regulatory, and other governmental changes, including government administration policy actions, such as those relating to hiring and return-to-office, and policies implemented by the Department of Government Efficiency, including reduction-in-force initiatives, the FDA’s ability to hire and retain key personnel, including personnel with the expertise necessary to evaluate product candidates such as ours, and accept the payment of user fees, and other events that may otherwise affect the FDA’s ability to perform routine functions. Average review times at the FDA have fluctuated in recent years. Moreover, these and other factors have increased the uncertainties associated with interpreting the FDA’s guidance and predicting its areas of focus and responses to various issues. In addition, government funding of the FDA and other government agencies, including those that fund research and development activities, is subject to the political process, which is inherently fluid and unpredictable and could lead to changes in agency funding that make it more difficult or costly to operate our business. For example, the United States government has, and may in the future, take actions that could impact the extent to which NIH grantees can receive funds for indirect costs associated with research activities, and we cannot predict how and the extent to which any such actions may impact our business. Disruptions at the FDA and other agencies, such as staffing changes that have occurred and may occur in the future, may also extend the time necessary for new biologics or modifications to licensed biologics to be reviewed 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 If a prolonged government shutdown, a lapse in government appropriations or funding, or other disruption occurs, or if global health concerns, staffing shortages, budget restrictions, or other</w:t>
      </w:r>
    </w:p>
    <w:p>
      <w:pPr>
        <w:sectPr>
          <w:pgSz w:w="11880" w:h="15480" w:orient="portrait"/>
          <w:cols w:equalWidth="0" w:num="1">
            <w:col w:w="10800"/>
          </w:cols>
          <w:pgMar w:left="540" w:top="750" w:right="540" w:bottom="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10800"/>
          </w:cols>
          <w:pgMar w:left="540" w:top="750" w:right="540" w:bottom="0" w:gutter="0" w:footer="0" w:header="0"/>
          <w:type w:val="continuous"/>
        </w:sectPr>
      </w:pPr>
    </w:p>
    <w:bookmarkStart w:id="111" w:name="page112"/>
    <w:bookmarkEnd w:id="111"/>
    <w:p>
      <w:pPr>
        <w:ind w:right="180"/>
        <w:spacing w:after="0" w:line="249" w:lineRule="auto"/>
        <w:rPr>
          <w:sz w:val="20"/>
          <w:szCs w:val="20"/>
          <w:color w:val="auto"/>
        </w:rPr>
      </w:pPr>
      <w:r>
        <w:rPr>
          <w:rFonts w:ascii="Times New Roman" w:cs="Times New Roman" w:eastAsia="Times New Roman" w:hAnsi="Times New Roman"/>
          <w:sz w:val="20"/>
          <w:szCs w:val="20"/>
          <w:color w:val="231F20"/>
        </w:rPr>
        <w:t>factors such as those described above prevent the FDA or comparable foreign regulatory authorities from conducting their normal operations, such as regular inspections, reviews, or other regulatory activities, it could significantly impact the ability of the FDA or comparable foreign regulatory authorities to timely review and process our regulatory submissions. Such factors could also harm the ability of other government agencies with which we interact in the normal course of business to carry out their core functions. The occurrence of any of the foregoing could have a material adverse effect on our business.</w:t>
      </w:r>
    </w:p>
    <w:p>
      <w:pPr>
        <w:spacing w:after="0" w:line="31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Our business operations and current and future relationships with healthcare professionals, healthcare facilities and institutions, clinical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reputational harm, administrative burdens, and diminished profits.</w:t>
      </w:r>
    </w:p>
    <w:p>
      <w:pPr>
        <w:spacing w:after="0" w:line="7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Healthcare providers, healthcare facilities and institutions, physicians, and third-party payors in the United States and elsewhere will play a primary role in the recommendation and prescription of any product candidates for which we may obtain marketing approval. Our current and future arrangements with healthcare professionals, healthcare facilities and institutions, clinical investigators, consultants, customers, and third-party payors may expose us to broadly applicable fraud and abuse and other healthcare laws, including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and state governments and by foreign jurisdictions in which we conduct our business. The applicable federal, state, and foreign healthcare laws that affect our ability to operate include, but are not limited to, the following:</w:t>
      </w:r>
    </w:p>
    <w:p>
      <w:pPr>
        <w:spacing w:after="0" w:line="100" w:lineRule="exact"/>
        <w:rPr>
          <w:sz w:val="20"/>
          <w:szCs w:val="20"/>
          <w:color w:val="auto"/>
        </w:rPr>
      </w:pPr>
    </w:p>
    <w:p>
      <w:pPr>
        <w:ind w:left="980" w:right="40" w:hanging="490"/>
        <w:spacing w:after="0" w:line="243"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United States federal healthcare program, such as Medicare and Medicaid. The term “remuneration” has been broadly interpreted to include anything of value, including stock options.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Any arrangements with prescribers must be for </w:t>
      </w:r>
      <w:r>
        <w:rPr>
          <w:rFonts w:ascii="Times New Roman" w:cs="Times New Roman" w:eastAsia="Times New Roman" w:hAnsi="Times New Roman"/>
          <w:sz w:val="20"/>
          <w:szCs w:val="20"/>
          <w:i w:val="1"/>
          <w:iCs w:val="1"/>
          <w:color w:val="231F20"/>
        </w:rPr>
        <w:t xml:space="preserve">bona fide </w:t>
      </w:r>
      <w:r>
        <w:rPr>
          <w:rFonts w:ascii="Times New Roman" w:cs="Times New Roman" w:eastAsia="Times New Roman" w:hAnsi="Times New Roman"/>
          <w:sz w:val="20"/>
          <w:szCs w:val="20"/>
          <w:color w:val="231F20"/>
        </w:rPr>
        <w:t>services and compensated at fair market value. A person or entity does not need to have actual knowledge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statute or specific intent to violate it in order to have committed a violation;</w:t>
      </w:r>
    </w:p>
    <w:p>
      <w:pPr>
        <w:spacing w:after="0" w:line="99" w:lineRule="exact"/>
        <w:rPr>
          <w:rFonts w:ascii="Arial" w:cs="Arial" w:eastAsia="Arial" w:hAnsi="Arial"/>
          <w:sz w:val="20"/>
          <w:szCs w:val="20"/>
          <w:color w:val="231F20"/>
        </w:rPr>
      </w:pPr>
    </w:p>
    <w:p>
      <w:pPr>
        <w:ind w:left="980" w:hanging="490"/>
        <w:spacing w:after="0" w:line="243"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the United States federal civil and criminal false claims laws, including the civil False Claims Act, which can be enforced by private citizens on behalf of the United States federal government through civil whistleblower or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xml:space="preserve"> actions, and the federal civil monetary penalties law which prohibit, among other things, individuals or entities from knowingly presenting, or causing to be presented, to the United States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United States federal government. Pharmaceutical manufacturers can cause false claims to be presented to the United States federal government by, among other things, engaging in impermissible marketing practices, such as the off-label promotion of a product for an indication for which it has not received FDA approval. Further, pharmaceutical manufacturers can be held liable under the civil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False Claims Act;</w:t>
      </w:r>
    </w:p>
    <w:p>
      <w:pPr>
        <w:spacing w:after="0" w:line="96" w:lineRule="exact"/>
        <w:rPr>
          <w:rFonts w:ascii="Arial" w:cs="Arial" w:eastAsia="Arial" w:hAnsi="Arial"/>
          <w:sz w:val="20"/>
          <w:szCs w:val="20"/>
          <w:color w:val="231F20"/>
        </w:rPr>
      </w:pPr>
    </w:p>
    <w:p>
      <w:pPr>
        <w:ind w:left="980" w:right="160" w:hanging="490"/>
        <w:spacing w:after="0" w:line="247"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w:t>
      </w:r>
    </w:p>
    <w:p>
      <w:pPr>
        <w:spacing w:after="0" w:line="93"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Food, Drug, and Cosmetic Act, which prohibits, among other things, the adulteration or misbranding of drugs, biologics, and medical devices;</w:t>
      </w:r>
    </w:p>
    <w:p>
      <w:pPr>
        <w:spacing w:after="0" w:line="56" w:lineRule="exact"/>
        <w:rPr>
          <w:rFonts w:ascii="Arial" w:cs="Arial" w:eastAsia="Arial" w:hAnsi="Arial"/>
          <w:sz w:val="20"/>
          <w:szCs w:val="20"/>
          <w:color w:val="231F20"/>
        </w:rPr>
      </w:pPr>
    </w:p>
    <w:p>
      <w:pPr>
        <w:ind w:left="980" w:right="800" w:hanging="490"/>
        <w:spacing w:after="0" w:line="267" w:lineRule="auto"/>
        <w:tabs>
          <w:tab w:leader="none" w:pos="98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the United States Public Health Service Act, which prohibits, among other things, the introduction into interstate commerce of a biological product unless a biologics license is in effect for that product;</w:t>
      </w:r>
    </w:p>
    <w:p>
      <w:pPr>
        <w:sectPr>
          <w:pgSz w:w="11880" w:h="15480" w:orient="portrait"/>
          <w:cols w:equalWidth="0" w:num="1">
            <w:col w:w="10800"/>
          </w:cols>
          <w:pgMar w:left="540" w:top="750" w:right="540" w:bottom="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10800"/>
          </w:cols>
          <w:pgMar w:left="540" w:top="750" w:right="540" w:bottom="0" w:gutter="0" w:footer="0" w:header="0"/>
          <w:type w:val="continuous"/>
        </w:sectPr>
      </w:pPr>
    </w:p>
    <w:bookmarkStart w:id="112" w:name="page113"/>
    <w:bookmarkEnd w:id="112"/>
    <w:p>
      <w:pPr>
        <w:ind w:left="980" w:hanging="490"/>
        <w:spacing w:after="0" w:line="246"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United States Physician Payments Sunshine Act and its implementing regulations, which require, among other things, certain manufacturers of drugs, devices, biologics, and medical supplies that are reimbursable under Medicare, Medicaid, or the Children’s Health Insurance Program, with specific exceptions, to report annually to the Centers for Medicare and Medicaid Services (CMS) information related to certain payments and other transfers of value to physicians, as defined by statute, certain non-physician practitioners (including physician assistants, nurse practitioners, clinical nurse specialists, certified nurse anesthetists, anesthesiologist assistants, and certified nurse-midwives), and teaching hospitals, as well as ownership and investment interests held by such physicians and their immediate family members;</w:t>
      </w:r>
    </w:p>
    <w:p>
      <w:pPr>
        <w:spacing w:after="0" w:line="93" w:lineRule="exact"/>
        <w:rPr>
          <w:rFonts w:ascii="Arial" w:cs="Arial" w:eastAsia="Arial" w:hAnsi="Arial"/>
          <w:sz w:val="20"/>
          <w:szCs w:val="20"/>
          <w:color w:val="231F20"/>
        </w:rPr>
      </w:pPr>
    </w:p>
    <w:p>
      <w:pPr>
        <w:ind w:left="980" w:hanging="490"/>
        <w:spacing w:after="0" w:line="244"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United States state laws and regulations, including: state anti-kickback and false claims laws, which may apply to our business practices, including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United States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99" w:lineRule="exact"/>
        <w:rPr>
          <w:rFonts w:ascii="Arial" w:cs="Arial" w:eastAsia="Arial" w:hAnsi="Arial"/>
          <w:sz w:val="20"/>
          <w:szCs w:val="20"/>
          <w:color w:val="231F20"/>
        </w:rPr>
      </w:pPr>
    </w:p>
    <w:p>
      <w:pPr>
        <w:ind w:left="980" w:right="340" w:hanging="490"/>
        <w:spacing w:after="0" w:line="276" w:lineRule="auto"/>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similar healthcare laws and regulations in foreign jurisdictions, including reporting requirements detailing interactions with and payments to healthcare providers.</w:t>
      </w:r>
    </w:p>
    <w:p>
      <w:pPr>
        <w:spacing w:after="0" w:line="17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Ensuring that our internal operations and business arrangements with third parties comply with applicable healthcare laws and regulations will involve substantial costs. We have entered into, and expect to enter into in the future, consulting and scientific and clinical advisory board arrangements with physicians and other healthcare providers, including some who could influence the use of our product candidates, if approved. Compensation under some of these arrangements may include the provision of stock options or other equity in addition to or in lieu of cash consideration. Because of the complex and far-reaching nature of these laws, it is possible that governmental authorities could conclude that our payments to physicians may not be fair market value for </w:t>
      </w:r>
      <w:r>
        <w:rPr>
          <w:rFonts w:ascii="Times New Roman" w:cs="Times New Roman" w:eastAsia="Times New Roman" w:hAnsi="Times New Roman"/>
          <w:sz w:val="20"/>
          <w:szCs w:val="20"/>
          <w:i w:val="1"/>
          <w:iCs w:val="1"/>
          <w:color w:val="231F20"/>
        </w:rPr>
        <w:t>bona fide</w:t>
      </w:r>
      <w:r>
        <w:rPr>
          <w:rFonts w:ascii="Times New Roman" w:cs="Times New Roman" w:eastAsia="Times New Roman" w:hAnsi="Times New Roman"/>
          <w:sz w:val="20"/>
          <w:szCs w:val="20"/>
          <w:color w:val="231F20"/>
        </w:rPr>
        <w:t xml:space="preserve"> services or that our business practices do not comply with current or future statutes, regulations, agency guidance, or case law involving applicable fraud and abuse or other healthcare laws and regulations. For example, these relationships and any related compensation could result in perceived or actual conflicts of interest, or the FDA’s determination that the financial relationship affected the conduct or interpretation of one of our preclinical studies or clinical trials. In such a case, the integrity of the data generated from such preclinical study or clinical trial may be questioned and the utility of the preclinical study or clinical trial itself may be jeopardized, which could result in the delay or rejection by the FDA of any regulatory submissions related to our product candidates. Any such delay or rejection could prevent us from commercializing our product candidates.</w:t>
      </w:r>
    </w:p>
    <w:p>
      <w:pPr>
        <w:spacing w:after="0" w:line="20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Further, defending against any governmental actions can be costly and time-consuming and may require significant personnel resources. Therefore, even if we are successful in defending against any such actions, our business may be impaired. In addition, if any of the physicians or other providers or entities with whom we expect to do business are found to violate applicable laws or regulations, they may be subject to criminal, civil, or administrative sanctions, including exclusions from government funded healthcare programs and imprisonment, which could affect our ability to operate our business.</w:t>
      </w:r>
    </w:p>
    <w:p>
      <w:pPr>
        <w:spacing w:after="0" w:line="322"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employees, independent contractors, principal investigators, consultants, vendors, commercial partners, and other third parties that we engage or with which we collaborate may engage in misconduct or other improper activities, including noncompliance with regulatory standards and requirements.</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are exposed to the risk of fraud and other misconduct committed by our personnel and third parties that we engage or with which we collaborate in the course of our operations, including our employees, independent contractors, principal investigators, consultants, vendors, and commercial partners. It is not always possible to identify and deter misconduct or business noncompliance by such parties. We cannot ensure that precautions we take to detect and prevent inappropriate conduct, including our compliance controls, policies, and procedures, will in every instance protect us or be effective in controlling unknown or unmanaged risks or losses or in protecting us from governmental investigations or other actions or lawsuits stemming from unlawful acts committed by such parties in the jurisdictions in which we operate, including trade restrictions and sanctions and employment, foreign corrupt practices, environmental, competition, and patient privacy and other data privacy and protection laws and regulations. Misconduct by any such third parties could include failures to comply with FDA regulations, provide accurate information to the FDA, comply with manufacturing standards we may establish, report financial information or data accurately, comply with federal and state healthcare</w:t>
      </w:r>
    </w:p>
    <w:p>
      <w:pPr>
        <w:sectPr>
          <w:pgSz w:w="11880" w:h="15480" w:orient="portrait"/>
          <w:cols w:equalWidth="0" w:num="1">
            <w:col w:w="10780"/>
          </w:cols>
          <w:pgMar w:left="540" w:top="764" w:right="560" w:bottom="0" w:gutter="0" w:footer="0" w:header="0"/>
        </w:sect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10780"/>
          </w:cols>
          <w:pgMar w:left="540" w:top="764" w:right="560" w:bottom="0" w:gutter="0" w:footer="0" w:header="0"/>
          <w:type w:val="continuous"/>
        </w:sectPr>
      </w:pPr>
    </w:p>
    <w:bookmarkStart w:id="113" w:name="page114"/>
    <w:bookmarkEnd w:id="113"/>
    <w:p>
      <w:pPr>
        <w:ind w:right="680"/>
        <w:spacing w:after="0" w:line="252" w:lineRule="auto"/>
        <w:rPr>
          <w:sz w:val="20"/>
          <w:szCs w:val="20"/>
          <w:color w:val="auto"/>
        </w:rPr>
      </w:pPr>
      <w:r>
        <w:rPr>
          <w:rFonts w:ascii="Times New Roman" w:cs="Times New Roman" w:eastAsia="Times New Roman" w:hAnsi="Times New Roman"/>
          <w:sz w:val="20"/>
          <w:szCs w:val="20"/>
          <w:color w:val="231F20"/>
        </w:rPr>
        <w:t>fraud and abuse laws and regulations, including prohibitions on pricing, discounting, labeling, marketing and promotion, sales commission, customer incentive programs, and other business arrangements, or disclose unauthorized activities to us. Such misconduct could also involve the improper use of information obtained in the course of clinical trials, which could result in regulatory sanctions and serious harm to our reputation.</w:t>
      </w:r>
    </w:p>
    <w:p>
      <w:pPr>
        <w:spacing w:after="0" w:line="19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If any actions are instituted against us as a result of such misconduct or noncompliance, and we are not successful in defending ourselves or asserting our rights, those actions could have a material adverse effect on our business, financial condition, results of operations, and prospects. For example, we may be subject to or experience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w:t>
      </w:r>
    </w:p>
    <w:p>
      <w:pPr>
        <w:spacing w:after="0" w:line="32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Current and future legislation may increase the difficulty and cost for us and any future collaborators to obtain marketing approval of and commercialize our product candidates and affect the prices we, or they, may charge for such product candidates.</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the Patient Protection and Affordable Care Act (the ACA), enacted in 2010, substantially changed the way healthcare is financed by both governmental and private payors. Among the provisions of the ACA of importance to the pharmaceutical and biotechnology industries, which includes biologics, are the following:</w:t>
      </w:r>
    </w:p>
    <w:p>
      <w:pPr>
        <w:spacing w:after="0" w:line="94" w:lineRule="exact"/>
        <w:rPr>
          <w:sz w:val="20"/>
          <w:szCs w:val="20"/>
          <w:color w:val="auto"/>
        </w:rPr>
      </w:pPr>
    </w:p>
    <w:p>
      <w:pPr>
        <w:ind w:left="980" w:right="480" w:hanging="490"/>
        <w:spacing w:after="0" w:line="276" w:lineRule="auto"/>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an increase in the minimum level of Medicaid rebates payable by manufacturers of brand name drugs from 15.1% to 23.1% of the average manufacturer price;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expansion of the manufacturer Medicaid rebate obligation to drugs paid by Medicaid managed care organizations;</w:t>
      </w:r>
    </w:p>
    <w:p>
      <w:pPr>
        <w:spacing w:after="0" w:line="133" w:lineRule="exact"/>
        <w:rPr>
          <w:rFonts w:ascii="Arial" w:cs="Arial" w:eastAsia="Arial" w:hAnsi="Arial"/>
          <w:sz w:val="20"/>
          <w:szCs w:val="20"/>
          <w:color w:val="231F20"/>
        </w:rPr>
      </w:pPr>
    </w:p>
    <w:p>
      <w:pPr>
        <w:jc w:val="both"/>
        <w:ind w:left="980" w:right="80" w:hanging="490"/>
        <w:spacing w:after="0" w:line="258" w:lineRule="auto"/>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 requirement for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Arial" w:cs="Arial" w:eastAsia="Arial" w:hAnsi="Arial"/>
          <w:sz w:val="20"/>
          <w:szCs w:val="20"/>
          <w:color w:val="231F20"/>
        </w:rPr>
      </w:pPr>
    </w:p>
    <w:p>
      <w:pPr>
        <w:ind w:left="980" w:right="540" w:hanging="490"/>
        <w:spacing w:after="0" w:line="276" w:lineRule="auto"/>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 non-deductible annual fee on pharmaceutical manufacturers or importers who sell “branded prescription drugs” to specified federal government programs;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 new Patient-Centered Outcomes Research Institute to oversee, identify priorities in, and conduct comparative clinical effectiveness research, along with funding for such research;</w:t>
      </w:r>
    </w:p>
    <w:p>
      <w:pPr>
        <w:spacing w:after="0" w:line="64"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establishment of a Center for Medicare and Medicaid Innovation at CMS to test innovative payment and service delivery models to lower Medicare and Medicaid spending, potentially including prescription drug spending;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 licensure framework for follow-on biologic products.</w:t>
      </w:r>
    </w:p>
    <w:p>
      <w:pPr>
        <w:spacing w:after="0" w:line="239"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w:t>
      </w:r>
    </w:p>
    <w:p>
      <w:pPr>
        <w:spacing w:after="0" w:line="18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Other legislative changes have been proposed and adopted in the United Stated since the ACA was enacted, including aggregate reductions of Medicare payments to providers through 2032. </w:t>
      </w:r>
      <w:r>
        <w:rPr>
          <w:rFonts w:ascii="Times New Roman" w:cs="Times New Roman" w:eastAsia="Times New Roman" w:hAnsi="Times New Roman"/>
          <w:sz w:val="20"/>
          <w:szCs w:val="20"/>
          <w:color w:val="4F4F51"/>
        </w:rPr>
        <w:t>In addition,</w:t>
      </w:r>
      <w:r>
        <w:rPr>
          <w:rFonts w:ascii="Times New Roman" w:cs="Times New Roman" w:eastAsia="Times New Roman" w:hAnsi="Times New Roman"/>
          <w:sz w:val="20"/>
          <w:szCs w:val="20"/>
          <w:color w:val="231F20"/>
        </w:rPr>
        <w:t xml:space="preserve"> the American Rescue Plan Act of 2021 eliminated the statutory Medicaid drug rebate cap. Elimination of this cap may require pharmaceutical manufacturers to pay more in rebates than they receive on the sale of products, which could have a material impact on our business.</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Most significantly, on August 16, 2022, President Biden signed the IRA into law. This statute marks the most significant action by Congress with respect to the pharmaceutical industry since adoption of the ACA in 2010. Among other things, the IRA requires, beginning in 2026, manufacturers of certain drugs to engage in price negotiations with Medicare, with prices that can be negotiated subject to a cap; imposes rebates, first due in 2023, under Medicare Part B and Medicare Part D to penalize price increases that outpace inflation; and, effective in 2025, replaces the Part D coverage gap discount program with a new discounting program. The IRA permits the Secretary of HHS to implement many of these provisions through guidance, as opposed to regulation, for the initial years. HHS has issued and will continue to issue and update guidance as these programs are implemented.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w:t>
      </w:r>
    </w:p>
    <w:p>
      <w:pPr>
        <w:sectPr>
          <w:pgSz w:w="11880" w:h="15480" w:orient="portrait"/>
          <w:cols w:equalWidth="0" w:num="1">
            <w:col w:w="10780"/>
          </w:cols>
          <w:pgMar w:left="540" w:top="750" w:right="560" w:bottom="0"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10780"/>
          </w:cols>
          <w:pgMar w:left="540" w:top="750" w:right="560" w:bottom="0" w:gutter="0" w:footer="0" w:header="0"/>
          <w:type w:val="continuous"/>
        </w:sectPr>
      </w:pPr>
    </w:p>
    <w:bookmarkStart w:id="114" w:name="page115"/>
    <w:bookmarkEnd w:id="114"/>
    <w:p>
      <w:pPr>
        <w:ind w:right="60"/>
        <w:spacing w:after="0" w:line="244" w:lineRule="auto"/>
        <w:rPr>
          <w:sz w:val="20"/>
          <w:szCs w:val="20"/>
          <w:color w:val="auto"/>
        </w:rPr>
      </w:pPr>
      <w:r>
        <w:rPr>
          <w:rFonts w:ascii="Times New Roman" w:cs="Times New Roman" w:eastAsia="Times New Roman" w:hAnsi="Times New Roman"/>
          <w:sz w:val="20"/>
          <w:szCs w:val="20"/>
          <w:color w:val="231F20"/>
        </w:rPr>
        <w:t>effective, CMS selected ten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 IRA and ongoing and future legislative, executive, judicial, and administrative actions and any healthcare measures and agency rules on the pharmaceutical industry generally, and on our business specifically, is uncertain. If we obtain regulatory approval for any of our product candidates, the IRA could substantially and negatively impact the prices we may charge for such products, which could harm our ability to generate revenue and achieve and sustain profitability.</w:t>
      </w:r>
    </w:p>
    <w:p>
      <w:pPr>
        <w:spacing w:after="0" w:line="202"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spacing w:after="0" w:line="20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Additionally, individual states in the United States have passed legislation and implemented regulations designed to control pharmaceutical and biological product pricing and costs. Similar developments have occurred outside of the United States, including in the EU where healthcare budgetary constraints have resulted in restrictions on the pricing and reimbursement of medicines by relevant health service providers. To obtain reimbursement or pricing approval in some EU member states, we may be required to conduct studies that compare the cost-effectiveness of our product candidates to other therapies that are considered the local standard of care.</w:t>
      </w:r>
    </w:p>
    <w:p>
      <w:pPr>
        <w:spacing w:after="0" w:line="20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Further, there have been a number of, and there may in the future be, other policy, legislative, and regulatory proposals aimed at changing the pharmaceutical industry. The United States government, state legislatures, and foreign governmental entities have shown significant interest in implementing cost containment programs to limit the growth of government-paid healthcare costs, including price controls, restrictions on reimbursement and coverage, drug importation programs and proposals, and requirements for substitution of generic products for branded prescription drugs. For example, the current government administration has introduced various measures to address prescription drug pricing and access, including through issuance of an executive order aiming to establish a “most-favored-nation” drug pricing policy that would tie United States drug prices to the prices paid for drugs in other countries, which has prompted and may lead to additional government and industry action in furtherance this policy, including agreements between the government and major pharmaceutical companies designed to bring American drug prices in line with the lowest price paid by other developed nations and the potential rollout of direct-to-consumer drug purchasing programs and platforms. In particular, the current administration has directed the Secretary of HHS to establish a mechanism through which American patients can buy drugs directly from manufacturers who sell at a most-favored-nation price and directed the United States Trade Representative and Secretary of Commerce to take action to ensure foreign countries are not engaged in practices that purposefully and unfairly undercut market prices and drive price hikes in the U.S. In addition,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could have a material adverse effect on our industry and our business generally, including by harming our ability to set adequate pricing for new drugs to recover research and development costs, our ability to attract potential investors and potential buyers in the future, or the pricing of any of our approved products in the United States or in foreign countries. The timing and extent of implementation of any of the measures described above is uncertain and we cannot fully predict their impact on our product candidates and our business. However, the adoption of these and any other government controls and measures, and tightening of restrictive policies in jurisdictions with existing controls and measures, could exclude or limit our product candidates from coverage, limit payments for pharmaceuticals, and impact healthcare systems and drug markets in the United States and abroad.</w:t>
      </w:r>
    </w:p>
    <w:p>
      <w:pPr>
        <w:spacing w:after="0" w:line="217"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In June 2024, the Supreme Court overturned the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doctrine, which gave deference to regulatory agencies' statutory interpretations of ambiguous federal laws in litigation against these agencies, including the FDA. This landmark decision may invite more companies or other stakeholders to bring lawsuits against the FDA to challenge its longstanding decisions and policies, including its statutory interpretations of market exclusivities and the “substantial evidence” requirements for drug approvals, and could undermine its authority, increase the difficulty of enforcing FDA regulations,</w:t>
      </w:r>
    </w:p>
    <w:p>
      <w:pPr>
        <w:sectPr>
          <w:pgSz w:w="11880" w:h="15480" w:orient="portrait"/>
          <w:cols w:equalWidth="0" w:num="1">
            <w:col w:w="10800"/>
          </w:cols>
          <w:pgMar w:left="540" w:top="750" w:right="540" w:bottom="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10800"/>
          </w:cols>
          <w:pgMar w:left="540" w:top="750" w:right="540" w:bottom="0" w:gutter="0" w:footer="0" w:header="0"/>
          <w:type w:val="continuous"/>
        </w:sectPr>
      </w:pPr>
    </w:p>
    <w:bookmarkStart w:id="115" w:name="page116"/>
    <w:bookmarkEnd w:id="115"/>
    <w:p>
      <w:pPr>
        <w:ind w:right="140"/>
        <w:spacing w:after="0" w:line="252" w:lineRule="auto"/>
        <w:rPr>
          <w:sz w:val="20"/>
          <w:szCs w:val="20"/>
          <w:color w:val="auto"/>
        </w:rPr>
      </w:pPr>
      <w:r>
        <w:rPr>
          <w:rFonts w:ascii="Times New Roman" w:cs="Times New Roman" w:eastAsia="Times New Roman" w:hAnsi="Times New Roman"/>
          <w:sz w:val="20"/>
          <w:szCs w:val="20"/>
          <w:color w:val="231F20"/>
        </w:rPr>
        <w:t>disrupt its normal operations, lead to longer review and decision-making timelines, and lead to uncertainties in the industry, which could delay FDA review of any regulatory submissions we may submit for our product candidates. We cannot predict the full impact of this decision, future challenges brought against the FDA, or the nature or extent of government regulation that may arise from future legislation or administrative, judicial, or other governmental action, including under the current government administration.</w:t>
      </w:r>
    </w:p>
    <w:p>
      <w:pPr>
        <w:spacing w:after="0" w:line="194" w:lineRule="exact"/>
        <w:rPr>
          <w:sz w:val="20"/>
          <w:szCs w:val="20"/>
          <w:color w:val="auto"/>
        </w:rPr>
      </w:pPr>
    </w:p>
    <w:p>
      <w:pPr>
        <w:jc w:val="both"/>
        <w:ind w:right="200" w:firstLine="490"/>
        <w:spacing w:after="0" w:line="249" w:lineRule="auto"/>
        <w:rPr>
          <w:sz w:val="20"/>
          <w:szCs w:val="20"/>
          <w:color w:val="auto"/>
        </w:rPr>
      </w:pPr>
      <w:r>
        <w:rPr>
          <w:rFonts w:ascii="Times New Roman" w:cs="Times New Roman" w:eastAsia="Times New Roman" w:hAnsi="Times New Roman"/>
          <w:sz w:val="20"/>
          <w:szCs w:val="20"/>
          <w:color w:val="231F20"/>
        </w:rPr>
        <w:t>Moreover, currently enacted legislation may not be renewed once it expires, which may make it more difficult for us to obtain regulatory approval for and commercialize our product candidates. For example, the Prescription Drug User Fee Act (PDUFA) was enacted by Congress in 1992 to allow the FDA to collect fees from parties that produce certain human drug and biological products.</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Among other things, the fees collected under PDUFA provide for the timely review of regulatory submissions, such as BLAs. PDUFA has been renewed multiple times since its enactment, including at the end of September 2022, which has allowed the FDA to continue collecting prescription drug user fees. However, there is no guarantee that the most recent renewal will continue without modification or that future renewals will occur in a timely manner, if at all, including, for example, due to recent and potential future government administration actions and policy changes. In addition, there may be amendments to PDUFA that could significantly affect how regulatory submissions are reviewed, and we cannot predict the extent of such amendments and how they will affect our business. If PDUFA is not renewed or its renewal is delayed, or if PDUFA is amended in certain ways, the FDA’s ability to review any regulatory submissions and related correspondence for our product candidates may be materially adversely impacted, which could negatively impact our development timelines and ability to obtain regulatory approval of our product candidates.</w:t>
      </w:r>
    </w:p>
    <w:p>
      <w:pPr>
        <w:spacing w:after="0" w:line="20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On December 13, 2021, Regulation 2021/2282 on Health Technology Assessment (HTA) amending Directive 2011/24/EU (the Regulation), was adopted in the EU. While the Regulation entered into force in January 2022, from January 31, 2025, or the end of the transition period, any trials approved under the Clinical Trials Directive that continue running must comply with the Regulation, and their sponsors must enter information on the trials in the CTIS, which provides a single-entry point for sponsors and regulators of clinical trials for the submission and assessment of clinical trial data.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the UK, the former 2019 Voluntary Scheme for Branded Medicines Pricing and Access (VPAS) scheme for cost containment of branded National Health Service (NHS) prescription medicines ended in 2023, and has been replaced by the 2024-2028 Voluntary Scheme for Branded Medicines Pricing, Access and Growth (VPAG) scheme. VPAG is an agreement between the UK government, the NHS, and the pharmaceutical industry, pursuant to which the pharmaceutical industry commits to returning NHS overspend based on sales of branded prescription medicines (innovative brands, branded generics, and biosimilars) when a maximum sales growth rate is exceeded. The rebate calculations use a product-by-product assessment that classifies branded medicines as either “new active substances,” “newer medicines,” or “older medicines” based on a set of rules. All companies selling branded prescription medicines in the UK can, but are not required to, be members of VPAG. Once they join, companies remain in the scheme and any decision to leave in the following year must be made three months before the calendar year ends. A statutory scheme, which is intended to be broadly commercially equivalent to VPAG, runs alongside VPAG for companies that do not choose to join or remain in VPAG. However, because changes can be made to the statutory scheme at any point after a short public consultation, it does not provide the same stability as the five-year VPAG.</w:t>
      </w:r>
    </w:p>
    <w:p>
      <w:pPr>
        <w:spacing w:after="0" w:line="206" w:lineRule="exact"/>
        <w:rPr>
          <w:sz w:val="20"/>
          <w:szCs w:val="20"/>
          <w:color w:val="auto"/>
        </w:rPr>
      </w:pPr>
    </w:p>
    <w:p>
      <w:pPr>
        <w:ind w:right="120" w:firstLine="490"/>
        <w:spacing w:after="0" w:line="305" w:lineRule="auto"/>
        <w:rPr>
          <w:sz w:val="20"/>
          <w:szCs w:val="20"/>
          <w:color w:val="auto"/>
        </w:rPr>
      </w:pPr>
      <w:r>
        <w:rPr>
          <w:rFonts w:ascii="Times New Roman" w:cs="Times New Roman" w:eastAsia="Times New Roman" w:hAnsi="Times New Roman"/>
          <w:sz w:val="19"/>
          <w:szCs w:val="19"/>
          <w:color w:val="231F20"/>
        </w:rPr>
        <w:t>We cannot predict the likelihood, nature, or extent of government regulation that may arise from future legislation or administrative, judicial, or executive action in the United States or any other jurisdiction. If we or any third parties we may engage or</w:t>
      </w:r>
    </w:p>
    <w:p>
      <w:pPr>
        <w:sectPr>
          <w:pgSz w:w="11880" w:h="15480" w:orient="portrait"/>
          <w:cols w:equalWidth="0" w:num="1">
            <w:col w:w="10780"/>
          </w:cols>
          <w:pgMar w:left="540" w:top="750" w:right="560"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10780"/>
          </w:cols>
          <w:pgMar w:left="540" w:top="750" w:right="560" w:bottom="0" w:gutter="0" w:footer="0" w:header="0"/>
          <w:type w:val="continuous"/>
        </w:sectPr>
      </w:pPr>
    </w:p>
    <w:bookmarkStart w:id="116" w:name="page117"/>
    <w:bookmarkEnd w:id="116"/>
    <w:p>
      <w:pPr>
        <w:ind w:right="80"/>
        <w:spacing w:after="0" w:line="278" w:lineRule="auto"/>
        <w:rPr>
          <w:sz w:val="20"/>
          <w:szCs w:val="20"/>
          <w:color w:val="auto"/>
        </w:rPr>
      </w:pPr>
      <w:r>
        <w:rPr>
          <w:rFonts w:ascii="Times New Roman" w:cs="Times New Roman" w:eastAsia="Times New Roman" w:hAnsi="Times New Roman"/>
          <w:sz w:val="19"/>
          <w:szCs w:val="19"/>
          <w:color w:val="231F20"/>
        </w:rPr>
        <w:t>with which we collaborate are slow or unable to adapt to changes in existing requirements or the adoption of new requirements or policies, or if we or such third parties are not able to maintain regulatory compliance, our product candidates may be unable to obtain regulatory approval or lose any regulatory approval that may have been obtained, and we may not achieve or sustain profitability.</w:t>
      </w:r>
    </w:p>
    <w:p>
      <w:pPr>
        <w:spacing w:after="0" w:line="2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p>
    <w:p>
      <w:pPr>
        <w:spacing w:after="0" w:line="6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which consider various factors in determining the level of coverage and reimbursement, including the nature of the disease to be treated, the availability and cost of other therapies for the same disease, and the size of the patient population that could benefit from such treatment. In particular, we may face challenges commercializing products that we develop as functional cures for particular diseases, which raise unique coverage and reimbursement considerations relative to more traditional therapies. Even if we succeed in bringing one or more products to the market, these products may not be considered cost-effective, and the amount reimbursed for any products may be insufficient to allow us to sell our products on a competitive basis. For example, the cost of treatment with our product candidates, including those developed as functional cures, may be expensive or more costly than other available treatment options, in particular, because such product candidates may require only a single or minimal number of administrations. Even if treatment costs are partially offset by coverage from third-party payors, required co-payments or deductibles may cause treatment with such product candidates to be too expensive for certain patients. Because our product candidates are in the early stages of development, we are currently unable to determine their cost effectiveness or the likely level or method of coverage and reimbursement. Increasingly, the third-party payors that reimburse patients or healthcare providers are requiring that drug companies provide these payors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w:t>
      </w:r>
    </w:p>
    <w:p>
      <w:pPr>
        <w:spacing w:after="0" w:line="20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product for which we receive regulatory approval will be reimbursed in all cases or at a rate that covers our costs, including for research, development, manufacture, sale, and distribution.</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For our product candidates that are intended to be administered by a physician (for example, via injection or transplantation), separate reimbursement for the product itself may or may not be available. Instead, the administering physician may or may not be reimbursed for providing the treatment or procedure in which our product is used.</w:t>
      </w:r>
    </w:p>
    <w:p>
      <w:pPr>
        <w:spacing w:after="0" w:line="20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time-consuming and costly and will likely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w:t>
      </w:r>
    </w:p>
    <w:p>
      <w:pPr>
        <w:sectPr>
          <w:pgSz w:w="11880" w:h="15480" w:orient="portrait"/>
          <w:cols w:equalWidth="0" w:num="1">
            <w:col w:w="10740"/>
          </w:cols>
          <w:pgMar w:left="540" w:top="750" w:right="600" w:bottom="0" w:gutter="0" w:footer="0" w:header="0"/>
        </w:sect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10740"/>
          </w:cols>
          <w:pgMar w:left="540" w:top="750" w:right="600" w:bottom="0" w:gutter="0" w:footer="0" w:header="0"/>
          <w:type w:val="continuous"/>
        </w:sectPr>
      </w:pPr>
    </w:p>
    <w:bookmarkStart w:id="117" w:name="page118"/>
    <w:bookmarkEnd w:id="117"/>
    <w:p>
      <w:pPr>
        <w:ind w:right="20"/>
        <w:spacing w:after="0" w:line="258" w:lineRule="auto"/>
        <w:rPr>
          <w:sz w:val="20"/>
          <w:szCs w:val="20"/>
          <w:color w:val="auto"/>
        </w:rPr>
      </w:pPr>
      <w:r>
        <w:rPr>
          <w:rFonts w:ascii="Times New Roman" w:cs="Times New Roman" w:eastAsia="Times New Roman" w:hAnsi="Times New Roman"/>
          <w:sz w:val="20"/>
          <w:szCs w:val="20"/>
          <w:color w:val="231F20"/>
        </w:rPr>
        <w:t>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w:t>
      </w:r>
    </w:p>
    <w:p>
      <w:pPr>
        <w:spacing w:after="0" w:line="188"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As discussed elsewhere in these Risk Factors, there have been, and likely will continue to be, legislative, regulatory, and other governmental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w:t>
      </w:r>
    </w:p>
    <w:p>
      <w:pPr>
        <w:spacing w:after="0" w:line="91" w:lineRule="exact"/>
        <w:rPr>
          <w:sz w:val="20"/>
          <w:szCs w:val="20"/>
          <w:color w:val="auto"/>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demand for any of our product candidates that may receive regulatory approval;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set a price for our approved products that we believe is fair;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coverage and reimbursement approval for an approved product;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generate revenue and achieve or maintain profitability;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taxes that we are required to pay;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capital.</w:t>
      </w:r>
    </w:p>
    <w:p>
      <w:pPr>
        <w:spacing w:after="0" w:line="23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Additionally, companion diagnostic tests that we or our collaborators may develop require coverage and reimbursement separate and apart from the coverage and reimbursement for their companion pharmaceutical or biologics products. Similar challenges to obtaining coverage and reimbursement applicable to pharmaceutical or biologics products will apply to companion diagnostic tests. Our inability to promptly obtain coverage and adequate reimbursement from third-party payors for the product candidates that we may develop and for which we obtain regulatory approval or any companion diagnostics that we or our collaborators may develop could have a material and adverse effect on our business, financial condition, results of operations, and prospects.</w:t>
      </w: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face potential liability related to the privacy of personal information, including health information we utilize in the development of products developed from our ex vivo cell engineering platform, as well as information we may obtain from research institutions participating in clinical trials involving our product candidates or technologies and directly from individuals.</w:t>
      </w:r>
    </w:p>
    <w:p>
      <w:pPr>
        <w:spacing w:after="0" w:line="68"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231F20"/>
        </w:rPr>
        <w:t>We and our partners and vendors are subject to various federal, state, and foreign laws and regulations relating to data protection, privacy, and security. If we fail, or are alleged to fail, to comply with these laws and regulations, we may be subject to litigation, regulatory investigations, enforcement notices, enforcement actions, fines, and criminal or civil penalties, as well as negative publicity, reputational harm, and potential loss of business.</w:t>
      </w:r>
    </w:p>
    <w:p>
      <w:pPr>
        <w:spacing w:after="0" w:line="19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information. For example, most healthcare providers, including research institutions from which we may obtain patient health information, are subject to data privacy and security regulations promulgated under HIPAA, as amended by the Health Information Technology for Economic and Clinical Health Act of 2009 (HITECH).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reasonable steps to keep consumers’ personal information secure may constitute a violation of the Federal Trade Commission Act.</w:t>
      </w:r>
    </w:p>
    <w:p>
      <w:pPr>
        <w:spacing w:after="0" w:line="20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Certain materials we may use in our therapeutic research and development efforts, as well as stem cell lines used as starting material in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product candidates, are derived from human sources, which may contain sensitive identifiable personal information regarding the donor. In addition, we or our partners or vendors may maintain or otherwise have access to sensitive identifiable personal information, including health information, that we receive throughout the clinical trial process, in the course of our research collaborations, and directly from individuals (or their healthcare providers) who may enroll in our patient assistance programs, if any. We may become subject to further obligations under HIPAA as a result of our access to such information. In addition, the HIPAA Standards for Privacy of Individually Identifiable Health Information (Privacy Rule) and the Security Standards for the Protection of Electronic Protected Health Information under HIPAA and HITECH are the subjects of final and proposed rule amendments, respectively. Additionally, many provisions of the final amendments to the Privacy Rule were vacated by a federal court in June 2025, and may be the subject of further proposed amendments. We may be required to modify our policies and practices to address these and other updates to the rules implementing HIPAA and HITECH.</w:t>
      </w:r>
    </w:p>
    <w:p>
      <w:pPr>
        <w:sectPr>
          <w:pgSz w:w="11880" w:h="15480" w:orient="portrait"/>
          <w:cols w:equalWidth="0" w:num="1">
            <w:col w:w="10800"/>
          </w:cols>
          <w:pgMar w:left="540" w:top="750" w:right="540" w:bottom="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10800"/>
          </w:cols>
          <w:pgMar w:left="540" w:top="750" w:right="540" w:bottom="0" w:gutter="0" w:footer="0" w:header="0"/>
          <w:type w:val="continuous"/>
        </w:sectPr>
      </w:pPr>
    </w:p>
    <w:bookmarkStart w:id="118" w:name="page119"/>
    <w:bookmarkEnd w:id="118"/>
    <w:p>
      <w:pPr>
        <w:ind w:firstLine="490"/>
        <w:spacing w:after="0" w:line="242" w:lineRule="auto"/>
        <w:rPr>
          <w:sz w:val="20"/>
          <w:szCs w:val="20"/>
          <w:color w:val="auto"/>
        </w:rPr>
      </w:pPr>
      <w:r>
        <w:rPr>
          <w:rFonts w:ascii="Times New Roman" w:cs="Times New Roman" w:eastAsia="Times New Roman" w:hAnsi="Times New Roman"/>
          <w:sz w:val="20"/>
          <w:szCs w:val="20"/>
          <w:color w:val="231F20"/>
        </w:rPr>
        <w:t>In addition, our collection of personal information generally, including information of our employees, human donors, or patients, may subject us to state data privacy laws governing the processing of personal information and requiring notification to affected individuals and state regulators in the event of a data breach involving such personal information. For example, we may be subject to state laws such as the California Consumer Privacy Act (CCPA) and its related regulations, and the California Privacy Rights Act (CPRA), which establish data privacy rights for California residents, with corresponding obligations on businesses related to transparency, deletion, and opt-out of the selling of personal information, and grant a private right of action for individuals in the event of certain security breaches that has increased the likelihood of, and risks associated with, data breach litigation. The CPRA, which became effective on January 1, 2023, significantly modified the CCPA, including by expanding consumers’ rights with respect to certain sensitive personal information and imposing new audit requirements for higher risk data. The CPRA also created a state agency that is vested with authority to implement and enforce the CCPA and the CPRA, which could result in increased privacy and information security enforcement. Additional compliance investment and potential business process changes may also be required. Numerous similar laws, and other laws governing privacy and information security, such as Washington’s My Health, My Data Act, have been passed and continue to be proposed at the state and federal level, reflecting a trend toward more stringent privacy legislation in the United States. Certain state laws may be more stringent or broader in scope, or offer greater individual rights, with respect to confidential, sensitive, and personal information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personal information.</w:t>
      </w:r>
    </w:p>
    <w:p>
      <w:pPr>
        <w:spacing w:after="0" w:line="20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Any clinical trial programs, including related regulatory filings, and research collaborations that we engage in outside the United States may implicate international laws and regulations concerning data protection, privacy, and security, including those governing various aspects of clinical research and, in the EU, the General Data Protection Regulation (GDPR). The GDPR imposes obligations in relation to the collection, use, sharing, disclosure, transfer, and other processing of data relating to an identifiable living individual within the European Economic Area (EEA), or “personal data,” including a principle of accountability and the obligation to demonstrate compliance through policies, procedures, training, and audit. The GDPR imposes stringent operational requirements for data controllers and data processors of personal data. Among other things, the GDPR requires that detailed notices be provided to clinical trial subjects and investigators, as well as maintenance of certain security levels for personal data and notification of data breaches or security incidents to appropriate data protection authorities or data subjects. Further, as a result of the UK’s withdrawal from the EU, we are required to comply with both the GDPR and the GDPR as incorporated into UK national law (UK GDPR) with respect to any clinical trial data generated from the EU and the UK, respectively, which may have differing requirements. Further, the UK implemented targeted amendments to its data protection framework through the UK Data (Use and Access) Act 2025 (UK Data Act), enacted on June 19, 2025, which has caused the UK’s data protection regime to deviate from the GDPR in certain respects. We may be subject to diverging requirements under EU member state laws and UK law, such as whether consent can be used as the legal basis for processing of clinical trial data and the roles, responsibilities, and liabilities and respective data protection obligations as between CROs, clinical trial sites, and sponsors. As these laws develop and the rules diverge, we may need to make operational changes to adapt, which could increase our costs and adversely affect our business.</w:t>
      </w:r>
    </w:p>
    <w:p>
      <w:pPr>
        <w:spacing w:after="0" w:line="20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The GDPR and UK GDPR regulate cross-border transfers of personal data out of the EEA and the UK, respectively. Recent legal developments in Europe have created complexity and uncertainty regarding the legality of and requirements with respect to transfers of personal data from the EEA and UK to the United States and other countries in which we or our partners or service providers may operate. Case law from the Court of Justice of the European Union (CJEU) states that reliance on the standard contractual clauses, which are a standard form of contract approved by the European Commission as an adequate personal data transfer mechanism, alone may not necessarily be sufficient in all circumstances and that transfers must be assessed on a case-by-case basis. We currently rely and expect to rely in the future on the EU standard contractual clauses, the UK Addendum to the EU standard contractual clauses, and the UK International Data Transfer Agreement, as applicable, to transfer personal data outside of the EEA and the UK, including to the United States. Following a period of legal complexity and uncertainty regarding international personal data transfers, particularly to the United States, we expect that the regulatory guidance and enforcement landscape will continue to develop in relation to transfers to the United States and elsewhere. For example, the European Commission has renewed the UK’s adequacy decision through December 2031 after assessing the UK Data Act, but such adequacy determination remains subject to potential revocation or modification. The United States also instituted new rules, effective April 8, 2025, that prohibit or restrict certain transactions involving sensitive data and specific countries of concern, including China, and, among other requirements, may require United States businesses to seek assurances that foreign parties will not further share sensitive data with parties in countries of concern. As a result of these or other developments relating to cross-border data transfers, we may have to make certain operational changes and implement revised standard contractual clauses and other relevant documentation for data transfers within required time frames. If we are unable to transfer personal data between and among countries and regions in which we or our partners, collaborators, vendors, or clinical trial sites operate, or face restrictions in doing so, it could adversely affect the manner in which we operate our business, affect the geographical location or segregation of our relevant systems and operations, and adversely affect our financial results.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10800"/>
          </w:cols>
          <w:pgMar w:left="540" w:top="750" w:right="540" w:bottom="0" w:gutter="0" w:footer="0" w:header="0"/>
          <w:type w:val="continuous"/>
        </w:sectPr>
      </w:pPr>
    </w:p>
    <w:bookmarkStart w:id="119" w:name="page120"/>
    <w:bookmarkEnd w:id="119"/>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These laws and regulations may also apply to service providers and vendors that store or otherwise process personal data on our behalf, such as CROs and other service providers that may support the conduct of our clinical trials and information technology or other vendors. If our policies, controls, or other measures fail or are alleged to fail to comply with applicable laws or regulations relating to privacy, data protection, or security, or if a service provider or vendor misuses data we have provided to it or fails to safeguard such data, or otherwise fails to comply with such laws, we may be subject to litigation, regulatory investigations, enforcement notices, or enforcement actions imposing fines or requiring us to change the way we use personal data, as well as negative publicity, reputational harm, and potential loss of business. Failure to comply with the GDPR could result in penalties. Since we may be subject to the supervision of relevant data protection authorities under both the GDPR and the UK GDPR, we could be fined under each of those regimes independently in respect of the same breach. Penalties for certain breaches are up to the greater of €20 million (£17.5 million) or 4% of our global annual turnover. In addition to fines, GDPR noncompliance may result in regulatory investigations, reputational damage, orders to cease or change our data processing activities, enforcement notices, assessment notices for a compulsory audit, or civil claims, including class actions. If and as we continue to expand certain of our operations into foreign countries and jurisdictions, we may be subject to additional laws and regulations that may affect how we conduct business.</w:t>
      </w:r>
    </w:p>
    <w:p>
      <w:pPr>
        <w:spacing w:after="0" w:line="20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expect that we will need to expend significant capital and other resources to ensure ongoing compliance with applicable data laws and regulations relating to data protection, privacy, and security. Claims that we have violated individuals’ privacy rights or breached our contractual obligations related to these matters, even if we are not found liable, could be expensive and time-consuming to defend and could result in negative publicity that could harm our business. Moreover, even if we take all necessary action to comply with legal and regulatory requirements, we could be subject to a data breach or other unauthorized access to personal information, which could subject us to fines and penalties, as well as litigation and reputational damage.</w:t>
      </w:r>
    </w:p>
    <w:p>
      <w:pPr>
        <w:spacing w:after="0" w:line="20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If we fail to keep apprised of and comply with applicable international, federal, state, or local legal and regulatory requirements and changes thereto, we could be subject to a range of legal or regulatory actions that could affect our or any collaborators’ ability to develop and seek to commercialize our product candidates. Any threatened or actual government enforcement action, or litigation when private rights of action are available, could also generate negative publicity, damage our reputation, result in liabilities, fines, and loss of business, and require that we devote substantial resources that could otherwise be used in support of other aspects of our business.</w:t>
      </w:r>
    </w:p>
    <w:p>
      <w:pPr>
        <w:spacing w:after="0" w:line="320"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and third parties involved in our operations are subject to United States and certain foreign laws and regulations relating to export and import controls, sanctions, embargoes, anti-corruption, and anti-money laundering. Compliance with these legal standards could impair our ability to compete in domestic and international markets. We could face criminal liability and other serious consequences for violations, which would harm our business</w:t>
      </w:r>
      <w:r>
        <w:rPr>
          <w:rFonts w:ascii="Times New Roman" w:cs="Times New Roman" w:eastAsia="Times New Roman" w:hAnsi="Times New Roman"/>
          <w:sz w:val="22"/>
          <w:szCs w:val="22"/>
          <w:b w:val="1"/>
          <w:bCs w:val="1"/>
          <w:i w:val="1"/>
          <w:iCs w:val="1"/>
          <w:color w:val="231F20"/>
        </w:rPr>
        <w:t>.</w:t>
      </w:r>
    </w:p>
    <w:p>
      <w:pPr>
        <w:spacing w:after="0" w:line="73"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(FCPA), the United States domestic bribery statute contained in 18 U.S.C. § 201, the United States Travel Act, the USA PATRIOT Act, and other state and national anti-bribery and anti -money laundering laws in the countries in which we conduct activities. International trade, tariff, and import/export laws and regulations may require us to obtain licenses or permits and take other actions in order to complete certain activities necessary for the research, manufacture, and development of our product candidates. Moreover, we expect such laws and regulations, along with associated guidance and interpretations, to evolve over time in ways that may impact various aspects of our business. The process for obtaining any necessary licenses or permits and otherwise complying with applicable legal and regulatory requirements may be lengthy and time-consuming, and if we are not able to obtain any such licenses or permits or otherwise comply with such requirements in a timely manner, we may experience delays in our ability to manufacture, develop, and commercialize our product candidates. Anti-corruption laws are interpreted broadly and prohibit companies and their employees, agents, contractors, collaborators, and other third parties from authorizing, promising, offering, or providing, directly or indirectly, improper payments or anything else of value to recipients in the public or private sector. We may engage third parties to sell products, if any, for which we receive regulatory approval outside the United States, to conduct clinical trials or other activities on our behalf, or to obtain necessary permits, licenses, patent registrations, and other regulatory approvals. In the ordinary course of our business, we may have direct or indirect interactions with officials and employees of government agencies or government-affiliated hospitals, universities, and other organizations. We may be held liable for the corrupt or other illegal activities of our employees, agents, contractors, collaborators, and other third parties,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19"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United States and various other countries, in particular China, with respect to trade policies, including sanctions, treaties, tariffs, taxes, regulatory requirements, and other limitations on cross-border operations, including due to government administration policy changes that have occurred or may</w:t>
      </w:r>
    </w:p>
    <w:p>
      <w:pPr>
        <w:sectPr>
          <w:pgSz w:w="11880" w:h="15480" w:orient="portrait"/>
          <w:cols w:equalWidth="0" w:num="1">
            <w:col w:w="10800"/>
          </w:cols>
          <w:pgMar w:left="540" w:top="750" w:right="540" w:bottom="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10800"/>
          </w:cols>
          <w:pgMar w:left="540" w:top="750" w:right="540" w:bottom="0" w:gutter="0" w:footer="0" w:header="0"/>
          <w:type w:val="continuous"/>
        </w:sectPr>
      </w:pPr>
    </w:p>
    <w:bookmarkStart w:id="120" w:name="page121"/>
    <w:bookmarkEnd w:id="120"/>
    <w:p>
      <w:pPr>
        <w:ind w:right="20"/>
        <w:spacing w:after="0" w:line="241" w:lineRule="auto"/>
        <w:rPr>
          <w:sz w:val="20"/>
          <w:szCs w:val="20"/>
          <w:color w:val="auto"/>
        </w:rPr>
      </w:pPr>
      <w:r>
        <w:rPr>
          <w:rFonts w:ascii="Times New Roman" w:cs="Times New Roman" w:eastAsia="Times New Roman" w:hAnsi="Times New Roman"/>
          <w:sz w:val="20"/>
          <w:szCs w:val="20"/>
          <w:color w:val="231F20"/>
        </w:rPr>
        <w:t>occur in the future. The United States government has and continues to make significant additional changes in United States trade policy and may continue to take future actions that could negatively impact United States trade. For example, the United States government has indicated its intent to modify United States trade policy and, in some cases, to renegotiate, or potentially terminate, certain existing bilateral or multi-lateral trade agreements. In addition, the United States has implemented, and in certain cases, increased, tariffs on a wide array of foreign products from almost all trading partners and may in the future implement other tariffs, including on pharmaceutical products. In particular, in April 2025, the United States Department of Commerce initiated an investigation related to imports of pharmaceuticals and pharmaceutical ingredients, and their derivative products, under Section 232 of the Trade Expansion Act of 1962, which could result in the imposition of or increase in tariffs on imports of finished drug products, medical countermeasures, critical inputs such as active pharmaceutical ingredients, and key starting materials, as well as derivative products of such items. The administration continues to implement new, reinstated, or adjusted tariffs on a broad array of items, and we expect that this practice may continue. For example, the administration previously imposed “reciprocal” and “fentanyl-related” tariffs on imports of certain items and from various trading partners, citing authorities provided for in the International Emergency Economic Powers Act (IEEPA). Following a Supreme Court ruling in February 2026 determining that these tariff actions were unauthorized, the government subsequently implemented a global “temporary import surcharge” on many of the same imports under authorities provided for in Section 122 of the Trade Act of 1974. The extent and duration of any tariffs, the uncertainty around their implementation and the timing thereof, and the resulting impact on general economic conditions and on our business are uncertain and will depend on various factors, such as negotiations between the United States and other countries, the response of such countries, exemptions or exclusions that may be granted, and the availability and cost of alternative sources of supply of materials and other items that we or third parties we work with may import from affected countries. We cannot predict what actions may ultimately be taken with respect to trade relations between the United States and China or other countries, what interactions, including products or services, may be subject to such actions, or what actions may be taken by the other countries in retaliation. If any such actions are taken, including implementation of new tariffs, export controls, legislation, or regulations, if existing trade agreements are renegotiated, if the United States or other governments take retaliatory trade actions, or any other similar changes occur, or if any of our interactions with parties affected by any such actions or changes become more costly or are limited or no longer possible, our business, liquidity, financial condition, or results of operations could be materially and adversely affected.</w:t>
      </w:r>
    </w:p>
    <w:p>
      <w:pPr>
        <w:spacing w:after="0" w:line="21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particular, trade restrictions, including tariffs, and other general economic or political conditions could increase the costs and limit the availability of items necessary for our supply chain, such as equipment, materials, or components that we may import into the United States, and could generally increase the expenses associated with our business, which could materially and adversely affect our results of operations, financial condition, and prospects. We may not be able to forecast such impacts accurately. Although we continue to work with our vendors, including our CDMOs, to mitigate our exposure to current or potential future tariffs and other trade restrictions, we cannot guarantee that we will be able to offset any increased costs or supply shortages or other disruptions. The ultimate impact of any trade restrictions will depend on various factors, including the timing of implementation and the duration, amount, scope, and nature of such trade restrictions, and if we are not successful in offsetting such impact, our operating results may be adversely affected.</w:t>
      </w:r>
    </w:p>
    <w:p>
      <w:pPr>
        <w:spacing w:after="0" w:line="20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Third parties involved in our operations, including CDMOs and other service providers, partners, and collaborators, may also be impacted by various laws, regulations, or other government actions, including those described above, compliance with or the effect of which could negatively impact the ability of these third parties to perform their obligations under our agreements with or otherwise harm our relationships with such third parties. For example, recent legislation known as the BIOSECURE Act was enacted in December 2025 as part of the 2026 National Defense Authorization Act, and places limitations on certain interactions with certain Chinese and other biotechnology firms that may pose a threat to United States national security, and additional proposals have been raised regarding executive actions to further limit Chinese service providers’ ability to engage in business in the United States. To the extent that any third parties involved in our operations are the subject of these or similar future laws or actions, our relationships with these third parties, and our programs and business generally, could be materially negatively impacted.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Limited Operating History, Financial Condition, and Need for Additional Capital</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spacing w:after="0" w:line="63"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may not be sufficient to fund our planned operations for at least one year from the date of this Annual Report, and there is substantial doubt as to our ability to continue as a going concern. Our ability to continue as a going concern will depend on our ability to obtain additional funding, and no assurances can be given that additional funding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If we are unable to obtain sufficient financing, we may be required to delay, reduce the scope of,</w:t>
      </w:r>
    </w:p>
    <w:p>
      <w:pPr>
        <w:sectPr>
          <w:pgSz w:w="11880" w:h="15480" w:orient="portrait"/>
          <w:cols w:equalWidth="0" w:num="1">
            <w:col w:w="10800"/>
          </w:cols>
          <w:pgMar w:left="540" w:top="750" w:right="540" w:bottom="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10800"/>
          </w:cols>
          <w:pgMar w:left="540" w:top="750" w:right="540" w:bottom="0" w:gutter="0" w:footer="0" w:header="0"/>
          <w:type w:val="continuous"/>
        </w:sectPr>
      </w:pPr>
    </w:p>
    <w:bookmarkStart w:id="121" w:name="page122"/>
    <w:bookmarkEnd w:id="121"/>
    <w:p>
      <w:pPr>
        <w:jc w:val="both"/>
        <w:ind w:right="40"/>
        <w:spacing w:after="0" w:line="251" w:lineRule="auto"/>
        <w:rPr>
          <w:sz w:val="20"/>
          <w:szCs w:val="20"/>
          <w:color w:val="auto"/>
        </w:rPr>
      </w:pPr>
      <w:r>
        <w:rPr>
          <w:rFonts w:ascii="Times New Roman" w:cs="Times New Roman" w:eastAsia="Times New Roman" w:hAnsi="Times New Roman"/>
          <w:sz w:val="20"/>
          <w:szCs w:val="20"/>
          <w:color w:val="231F20"/>
        </w:rPr>
        <w:t>or cease some or all of our research and development programs, or pursue strategic alternatives.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spacing w:after="0" w:line="30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will require additional funding to finance our operations. If we are unable to raise capital when needed, or on acceptable terms, we could be forced to delay, reduce, or eliminate some or all of our product development programs or commercialization efforts.</w:t>
      </w:r>
    </w:p>
    <w:p>
      <w:pPr>
        <w:spacing w:after="0" w:line="69" w:lineRule="exact"/>
        <w:rPr>
          <w:sz w:val="20"/>
          <w:szCs w:val="20"/>
          <w:color w:val="auto"/>
        </w:rPr>
      </w:pPr>
    </w:p>
    <w:p>
      <w:pPr>
        <w:ind w:right="80" w:firstLine="490"/>
        <w:spacing w:after="0" w:line="239" w:lineRule="auto"/>
        <w:rPr>
          <w:sz w:val="20"/>
          <w:szCs w:val="20"/>
          <w:color w:val="auto"/>
        </w:rPr>
      </w:pPr>
      <w:r>
        <w:rPr>
          <w:rFonts w:ascii="Times New Roman" w:cs="Times New Roman" w:eastAsia="Times New Roman" w:hAnsi="Times New Roman"/>
          <w:sz w:val="20"/>
          <w:szCs w:val="20"/>
          <w:color w:val="231F20"/>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if and as our ongoing activities grow in scope and breadth. Accordingly, we will need to obtain substantial additional funding in connection with our continuing operations. If we are unable to raise capital when needed or on attractive terms, we could be forced to delay, reduce, or eliminate certain research and development programs or any future commercialization efforts with respect to such programs, and our business, results of operations, and financial condition would be adversely affected.</w:t>
      </w:r>
    </w:p>
    <w:p>
      <w:pPr>
        <w:spacing w:after="0" w:line="8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2025, we had $138.4 million in cash, cash equivalents, and marketable securities. As described elsewhere in this Annual Report, due to our recurring operating losses and negative cash flows from operations, management has determined that our present capital resources may not be sufficient to fund our planned operations for at least one year from the date of this Annual Report, raising substantial doubt as to our ability to continue as a going concern. Accordingly, we will need to raise additional funding in order to execute on our current business plans and strategy. As described elsewhere in these Risk Factors, we cannot guarantee that financing will be available in sufficient amounts or on terms acceptable to us, if at all, and the terms of any financing may adversely affect our stockholders. Moreover, we could use our capital resources more quickly than we currently expect, which could require us to seek additional funds sooner than planned, including through public or private equity or debt financings or other sources, such as strategic collaborations. Attempting to secure additional financing may divert our management from our day-to-day activities, which may adversely affect our ability to develop our product candidates, and the issuance of additional securities, whether equity, traditional debt, or other debt-like arrangements, by us, or the possibility of such issuance, may cause the market price of our shares to decline. In addition, we may seek additional capital due to favorable market conditions or strategic considerations even if we believe we have sufficient funds for our current or future operating plans.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future capital requirements will depend on many factors, including:</w:t>
      </w:r>
    </w:p>
    <w:p>
      <w:pPr>
        <w:spacing w:after="0" w:line="134" w:lineRule="exact"/>
        <w:rPr>
          <w:sz w:val="20"/>
          <w:szCs w:val="20"/>
          <w:color w:val="auto"/>
        </w:rPr>
      </w:pPr>
    </w:p>
    <w:p>
      <w:pPr>
        <w:ind w:left="980" w:right="200" w:hanging="490"/>
        <w:spacing w:after="0" w:line="276"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timing, progress, costs, and results of discovery, preclinical development, and clinical trials for our current or future product candidates, including the development of companion diagnostics to such product candidates;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scope of clinical trials required for regulatory approval of our current or future product candidates;</w:t>
      </w:r>
    </w:p>
    <w:p>
      <w:pPr>
        <w:spacing w:after="0" w:line="133" w:lineRule="exact"/>
        <w:rPr>
          <w:rFonts w:ascii="Arial" w:cs="Arial" w:eastAsia="Arial" w:hAnsi="Arial"/>
          <w:sz w:val="20"/>
          <w:szCs w:val="20"/>
          <w:color w:val="231F20"/>
        </w:rPr>
      </w:pPr>
    </w:p>
    <w:p>
      <w:pPr>
        <w:ind w:left="980" w:right="600" w:hanging="490"/>
        <w:spacing w:after="0" w:line="276"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our current or future product candidates and any companion diagnostics to such product candidates;</w:t>
      </w:r>
    </w:p>
    <w:p>
      <w:pPr>
        <w:spacing w:after="0" w:line="64" w:lineRule="exact"/>
        <w:rPr>
          <w:rFonts w:ascii="Arial" w:cs="Arial" w:eastAsia="Arial" w:hAnsi="Arial"/>
          <w:sz w:val="20"/>
          <w:szCs w:val="20"/>
          <w:color w:val="231F20"/>
        </w:rPr>
      </w:pPr>
    </w:p>
    <w:p>
      <w:pPr>
        <w:jc w:val="both"/>
        <w:ind w:left="980" w:right="620" w:hanging="490"/>
        <w:spacing w:after="0" w:line="276"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timing, and scope of our manufacturing capabilities and our uses of our existing facilities, as well as costs associated with the manufacturing of clinical and commercial supplies of our current or future product candidates;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future commercialization activities, including manufacturing, marketing, sales, and distribution, for any of our product candidates for which we receive marketing approval;</w:t>
      </w:r>
    </w:p>
    <w:p>
      <w:pPr>
        <w:spacing w:after="0" w:line="64" w:lineRule="exact"/>
        <w:rPr>
          <w:rFonts w:ascii="Arial" w:cs="Arial" w:eastAsia="Arial" w:hAnsi="Arial"/>
          <w:sz w:val="20"/>
          <w:szCs w:val="20"/>
          <w:color w:val="231F20"/>
        </w:rPr>
      </w:pPr>
    </w:p>
    <w:p>
      <w:pPr>
        <w:jc w:val="both"/>
        <w:ind w:left="980" w:right="240" w:hanging="490"/>
        <w:spacing w:after="0" w:line="258"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Arial" w:cs="Arial" w:eastAsia="Arial" w:hAnsi="Arial"/>
          <w:sz w:val="20"/>
          <w:szCs w:val="20"/>
          <w:color w:val="231F20"/>
        </w:rPr>
      </w:pPr>
    </w:p>
    <w:p>
      <w:pPr>
        <w:ind w:left="980" w:right="540" w:hanging="490"/>
        <w:spacing w:after="0" w:line="258"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if any, received from commercial sales of our product candidates for which we receive marketing approval;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expenses required to attract, hire, and retain skilled personnel;</w:t>
      </w:r>
    </w:p>
    <w:p>
      <w:pPr>
        <w:spacing w:after="0" w:line="133"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global supply chain issues and changing rates of inflation on the costs of laboratory consumables, supplies, and equipment required for our ongoing operations;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operating as a public company;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effectively manage the amount of cash used in our operations;</w:t>
      </w:r>
    </w:p>
    <w:p>
      <w:pPr>
        <w:sectPr>
          <w:pgSz w:w="11880" w:h="15480" w:orient="portrait"/>
          <w:cols w:equalWidth="0" w:num="1">
            <w:col w:w="10780"/>
          </w:cols>
          <w:pgMar w:left="540" w:top="744" w:right="56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10780"/>
          </w:cols>
          <w:pgMar w:left="540" w:top="744" w:right="560" w:bottom="0" w:gutter="0" w:footer="0" w:header="0"/>
          <w:type w:val="continuous"/>
        </w:sectPr>
      </w:pPr>
    </w:p>
    <w:bookmarkStart w:id="122" w:name="page123"/>
    <w:bookmarkEnd w:id="122"/>
    <w:p>
      <w:pPr>
        <w:ind w:left="980" w:right="1040" w:hanging="490"/>
        <w:spacing w:after="0" w:line="276"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 commercially viable pricing structure and obtain approval for coverage and adequate reimbursement from third-party, including government, payors;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interruptions or delays resulting from global geo-political, economic, and other factors beyond our control;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invest in businesses, products, and technologies.</w:t>
      </w:r>
    </w:p>
    <w:p>
      <w:pPr>
        <w:spacing w:after="0" w:line="234"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Our ability to raise additional funds will depend on financial, economic, geo-political, and market conditions and other factors over which we may have no or limited control. Market volatility, including as a result of bank failures, and broader impacts on the global banking sector, geo-political and economic instability (including from the conflicts between Russia and Ukraine and in the Middle East), tensions in ex-U.S. (including U.S.-China) relations, and changes in government administration policy positions, or other factors, could also adversely impact our ability to access capital as and when needed. Furthermore, we hold significant balances of cash and cash equivalents, including as necessary to conduct our day-to-day operations, some of which are held in deposit accounts at commercial banks in excess of the government-provided deposit insurance, exposing such cash balances to additional risk of loss beyond our control. Additional funds may not be available when we need them, on terms and at a cost that are acceptable to us, or at all. If adequate funds are not available to us on a timely basis, or on terms and at a cost that are acceptable to us, we could be required to:</w:t>
      </w:r>
    </w:p>
    <w:p>
      <w:pPr>
        <w:spacing w:after="0" w:line="100" w:lineRule="exact"/>
        <w:rPr>
          <w:sz w:val="20"/>
          <w:szCs w:val="20"/>
          <w:color w:val="auto"/>
        </w:rPr>
      </w:pPr>
    </w:p>
    <w:p>
      <w:pPr>
        <w:ind w:left="980" w:right="460" w:hanging="490"/>
        <w:spacing w:after="0" w:line="258" w:lineRule="auto"/>
        <w:tabs>
          <w:tab w:leader="none" w:pos="98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delay, limit, reduce, or terminate preclinical studies, clinical trials, or other research and development activities, or eliminate one or more of our development programs altogether, or otherwise restructure our operations or reduce our workforce; or</w:t>
      </w:r>
    </w:p>
    <w:p>
      <w:pPr>
        <w:spacing w:after="0" w:line="81" w:lineRule="exact"/>
        <w:rPr>
          <w:rFonts w:ascii="Arial" w:cs="Arial" w:eastAsia="Arial" w:hAnsi="Arial"/>
          <w:sz w:val="20"/>
          <w:szCs w:val="20"/>
          <w:color w:val="231F20"/>
        </w:rPr>
      </w:pPr>
    </w:p>
    <w:p>
      <w:pPr>
        <w:ind w:left="980" w:hanging="490"/>
        <w:spacing w:after="0" w:line="249" w:lineRule="auto"/>
        <w:tabs>
          <w:tab w:leader="none" w:pos="98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delay, limit, reduce, or terminate our efforts to access manufacturing capacity or establish and operationalize our manufacturing facility we may operate, establish sales and marketing capabilities, or other activities that may be necessary to commercialize any product candidates for which we obtain regulatory approval, or reduce our flexibility in developing or maintaining our sales and marketing strategy with respect to any product candidates for which we obtain regulatory approval.</w:t>
      </w:r>
    </w:p>
    <w:p>
      <w:pPr>
        <w:spacing w:after="0" w:line="19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For example, as described elsewhere in these Risk Factors, we have conducted several portfolio prioritizations and associated workforce reductions in order to focus and consolidate our resources. We will require additional funding and other resources in order to expand preclinical development and initiate or continue clinical development for our product candidates, including if and as we seek strategic alternatives for certain of our programs.</w:t>
      </w:r>
    </w:p>
    <w:p>
      <w:pPr>
        <w:spacing w:after="0" w:line="31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capital may cause dilution to our stockholders, restrict our operations, or require us to relinquish rights to our technologies or product candidates.</w:t>
      </w:r>
    </w:p>
    <w:p>
      <w:pPr>
        <w:spacing w:after="0" w:line="46" w:lineRule="exact"/>
        <w:rPr>
          <w:sz w:val="20"/>
          <w:szCs w:val="20"/>
          <w:color w:val="auto"/>
        </w:rPr>
      </w:pPr>
    </w:p>
    <w:p>
      <w:pPr>
        <w:ind w:right="140" w:firstLine="490"/>
        <w:spacing w:after="0" w:line="232" w:lineRule="auto"/>
        <w:rPr>
          <w:sz w:val="20"/>
          <w:szCs w:val="20"/>
          <w:color w:val="auto"/>
        </w:rPr>
      </w:pPr>
      <w:r>
        <w:rPr>
          <w:rFonts w:ascii="Times New Roman" w:cs="Times New Roman" w:eastAsia="Times New Roman" w:hAnsi="Times New Roman"/>
          <w:sz w:val="20"/>
          <w:szCs w:val="20"/>
          <w:color w:val="231F20"/>
        </w:rPr>
        <w:t>Until such time, if ever, as we can generate substantial product revenue, we expect to finance our operations with our existing cash, cash equivalents, and marketable securities, proceeds from equity or debt financings, including our at-the-market offering facility (the ATM facility), as described below, and any future financings, and milestone, royalty, and other payments received under any future licenses, collaborations, or other arrangements. Additional capital may not be available on terms that are reasonable or acceptable to us, if at all. If we raise additional capital through the sale of equity or debt securities, existing stockholders’ ownership interests will be diluted, and the terms of these securities may include liquidation or other preferences that adversely affect the rights of our stockholders. In addition, any such issuance, or the possibility of such issuance, may cause the market price of our common stock to decline.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20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314"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losses since our inception, and we expect to incur losses for the foreseeable future. We have no products approved for commercial sale and may never achieve or maintain profitability.</w:t>
      </w:r>
    </w:p>
    <w:p>
      <w:pPr>
        <w:spacing w:after="0" w:line="55"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231F20"/>
        </w:rPr>
        <w:t>We have a limited operating history. Biotechnology product development is a highly speculative undertaking and involves a substantial degree of risk. We have incurred significant losses since inception, have not generated any revenue from product sales, and have financed our operations historically through several equity financings. We expect that it will be several years, if ever, before we</w:t>
      </w:r>
    </w:p>
    <w:p>
      <w:pPr>
        <w:sectPr>
          <w:pgSz w:w="11880" w:h="15480" w:orient="portrait"/>
          <w:cols w:equalWidth="0" w:num="1">
            <w:col w:w="10800"/>
          </w:cols>
          <w:pgMar w:left="540" w:top="764" w:right="540" w:bottom="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10800"/>
          </w:cols>
          <w:pgMar w:left="540" w:top="764" w:right="540" w:bottom="0" w:gutter="0" w:footer="0" w:header="0"/>
          <w:type w:val="continuous"/>
        </w:sectPr>
      </w:pPr>
    </w:p>
    <w:bookmarkStart w:id="123" w:name="page124"/>
    <w:bookmarkEnd w:id="123"/>
    <w:p>
      <w:pPr>
        <w:ind w:right="360"/>
        <w:spacing w:after="0" w:line="247" w:lineRule="auto"/>
        <w:rPr>
          <w:sz w:val="20"/>
          <w:szCs w:val="20"/>
          <w:color w:val="auto"/>
        </w:rPr>
      </w:pPr>
      <w:r>
        <w:rPr>
          <w:rFonts w:ascii="Times New Roman" w:cs="Times New Roman" w:eastAsia="Times New Roman" w:hAnsi="Times New Roman"/>
          <w:sz w:val="20"/>
          <w:szCs w:val="20"/>
          <w:color w:val="231F20"/>
        </w:rPr>
        <w:t xml:space="preserve">have a commercialized product and generate revenue from product sales. We had net losses of $244.2 million, $266.8 million, and $283.3 million for the years ended December 31, 2025, 2024, and 2023, respectively. As of December 31, 2025, we had an accumulated deficit of $1.8 billion, which includes cumulative non-cash charges related to the revaluation of our success payment liabilities and contingent consideration of $16.8 million and $ 72.5 million, respectively. Our losses have resulted principally from expenses incurred for the research and development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management and administrative costs, and other expenses incurred while building our business infrastructure.</w:t>
      </w:r>
    </w:p>
    <w:p>
      <w:pPr>
        <w:spacing w:after="0" w:line="19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Although our historical portfolio prioritizations have been designed to decrease our operating losses and expenses, other than with respect to one-time charges, our operating losses and expenses may increase over the longer term if our future clinical trials are successful and if we expand our research and development efforts. Our operating losses and expenses are, and will in the future likely be, driven by our ongoing operations and our potential future expanded operations, including if and as we:</w:t>
      </w:r>
    </w:p>
    <w:p>
      <w:pPr>
        <w:spacing w:after="0" w:line="88" w:lineRule="exact"/>
        <w:rPr>
          <w:sz w:val="20"/>
          <w:szCs w:val="20"/>
          <w:color w:val="auto"/>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research and development efforts;</w:t>
      </w:r>
    </w:p>
    <w:p>
      <w:pPr>
        <w:spacing w:after="0" w:line="126"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advance and expand the capabilities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w:t>
      </w:r>
    </w:p>
    <w:p>
      <w:pPr>
        <w:spacing w:after="0" w:line="126"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 additional product candidates;</w:t>
      </w:r>
    </w:p>
    <w:p>
      <w:pPr>
        <w:spacing w:after="0" w:line="126" w:lineRule="exact"/>
        <w:rPr>
          <w:rFonts w:ascii="Arial" w:cs="Arial" w:eastAsia="Arial" w:hAnsi="Arial"/>
          <w:sz w:val="20"/>
          <w:szCs w:val="20"/>
          <w:color w:val="231F20"/>
        </w:rPr>
      </w:pPr>
    </w:p>
    <w:p>
      <w:pPr>
        <w:ind w:left="980" w:right="320" w:hanging="490"/>
        <w:spacing w:after="0" w:line="270" w:lineRule="auto"/>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advance preclinical development of our current product candidates and initiate additional preclinical studies, including with respect to future product candidates;</w:t>
      </w:r>
    </w:p>
    <w:p>
      <w:pPr>
        <w:spacing w:after="0" w:line="62"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commence and advance through clinical studies of our current and future product candidates;</w:t>
      </w:r>
    </w:p>
    <w:p>
      <w:pPr>
        <w:spacing w:after="0" w:line="126"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establish our manufacturing capabilities, including through CDMOs;</w:t>
      </w:r>
    </w:p>
    <w:p>
      <w:pPr>
        <w:spacing w:after="0" w:line="126"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acquire and license technologies aligned with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w:t>
      </w:r>
    </w:p>
    <w:p>
      <w:pPr>
        <w:spacing w:after="0" w:line="126"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seek regulatory approval of our current and future product candidates;</w:t>
      </w:r>
    </w:p>
    <w:p>
      <w:pPr>
        <w:spacing w:after="0" w:line="126" w:lineRule="exact"/>
        <w:rPr>
          <w:rFonts w:ascii="Arial" w:cs="Arial" w:eastAsia="Arial" w:hAnsi="Arial"/>
          <w:sz w:val="20"/>
          <w:szCs w:val="20"/>
          <w:color w:val="231F20"/>
        </w:rPr>
      </w:pPr>
    </w:p>
    <w:p>
      <w:pPr>
        <w:ind w:left="980" w:right="20" w:hanging="490"/>
        <w:spacing w:after="0" w:line="270" w:lineRule="auto"/>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collaborate with third parties to support the development and regulatory approval of companion diagnostics to our product candidates;</w:t>
      </w:r>
    </w:p>
    <w:p>
      <w:pPr>
        <w:spacing w:after="0" w:line="62" w:lineRule="exact"/>
        <w:rPr>
          <w:rFonts w:ascii="Arial" w:cs="Arial" w:eastAsia="Arial" w:hAnsi="Arial"/>
          <w:sz w:val="20"/>
          <w:szCs w:val="20"/>
          <w:color w:val="231F20"/>
        </w:rPr>
      </w:pPr>
    </w:p>
    <w:p>
      <w:pPr>
        <w:ind w:left="980" w:right="80" w:hanging="490"/>
        <w:spacing w:after="0" w:line="270" w:lineRule="auto"/>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engage in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20"/>
          <w:szCs w:val="20"/>
          <w:color w:val="231F20"/>
        </w:rPr>
      </w:pPr>
    </w:p>
    <w:p>
      <w:pPr>
        <w:ind w:left="980" w:right="260" w:hanging="490"/>
        <w:spacing w:after="0" w:line="270" w:lineRule="auto"/>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operational, financial, and management systems and increase personnel, including those required to support our preclinical and clinical development, manufacturing, and potential future commercialization efforts;</w:t>
      </w:r>
    </w:p>
    <w:p>
      <w:pPr>
        <w:spacing w:after="0" w:line="62" w:lineRule="exact"/>
        <w:rPr>
          <w:rFonts w:ascii="Arial" w:cs="Arial" w:eastAsia="Arial" w:hAnsi="Arial"/>
          <w:sz w:val="20"/>
          <w:szCs w:val="20"/>
          <w:color w:val="231F20"/>
        </w:rPr>
      </w:pPr>
    </w:p>
    <w:p>
      <w:pPr>
        <w:ind w:left="980" w:hanging="490"/>
        <w:spacing w:after="0"/>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develop, prosecute, and defend our intellectual property portfolio; and</w:t>
      </w:r>
    </w:p>
    <w:p>
      <w:pPr>
        <w:spacing w:after="0" w:line="126" w:lineRule="exact"/>
        <w:rPr>
          <w:rFonts w:ascii="Arial" w:cs="Arial" w:eastAsia="Arial" w:hAnsi="Arial"/>
          <w:sz w:val="20"/>
          <w:szCs w:val="20"/>
          <w:color w:val="231F20"/>
        </w:rPr>
      </w:pPr>
    </w:p>
    <w:p>
      <w:pPr>
        <w:ind w:left="980" w:right="660" w:hanging="490"/>
        <w:spacing w:after="0" w:line="270" w:lineRule="auto"/>
        <w:tabs>
          <w:tab w:leader="none" w:pos="98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incur legal, accounting, and other expenses to operate our business, including the costs associated with operating as a public company.</w:t>
      </w:r>
    </w:p>
    <w:p>
      <w:pPr>
        <w:spacing w:after="0" w:line="17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We have devoted a significant portion of our financial resources and efforts to building our organization, developing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identifying and developing potential product candidates, executing preclinical studies, establishing manufacturing capabilities, preparing for and commencing clinical trials of our product candidates, acquiring technologies, organizing and staffing the company, business planning, establishing and maintaining our intellectual property portfolio, raising capital, and providing general and administrative support for these operations. We are in the early stages of development of our product candidates and have not completed development or commercialization of any product candidate.</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To become and remain profitable, we must succeed in identifying, developing,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manufacturing our product candidates, including accessing manufacturing capacity, obtaining regulatory approval for any product candidates that successfully complete clinical trials, establishing marketing capabilities, and commercializing and ultimately selling any products for which we may obtain regulatory approval.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any of the foregoing events were to occur, the value of our shares of common stock could be materially adversely affected.</w:t>
      </w:r>
    </w:p>
    <w:p>
      <w:pPr>
        <w:spacing w:after="0" w:line="196"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Because of the numerous risks and uncertainties associated with biopharmaceutical product development, we are unable to accurately predict the timing or increases in the amount of expenses we will incur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10800"/>
          </w:cols>
          <w:pgMar w:left="540" w:top="750" w:right="540" w:bottom="0" w:gutter="0" w:footer="0" w:header="0"/>
          <w:type w:val="continuous"/>
        </w:sectPr>
      </w:pPr>
    </w:p>
    <w:bookmarkStart w:id="124" w:name="page125"/>
    <w:bookmarkEnd w:id="124"/>
    <w:p>
      <w:pPr>
        <w:ind w:right="300"/>
        <w:spacing w:after="0" w:line="277" w:lineRule="auto"/>
        <w:rPr>
          <w:sz w:val="20"/>
          <w:szCs w:val="20"/>
          <w:color w:val="auto"/>
        </w:rPr>
      </w:pPr>
      <w:r>
        <w:rPr>
          <w:rFonts w:ascii="Times New Roman" w:cs="Times New Roman" w:eastAsia="Times New Roman" w:hAnsi="Times New Roman"/>
          <w:sz w:val="20"/>
          <w:szCs w:val="20"/>
          <w:color w:val="231F20"/>
        </w:rPr>
        <w:t>product candidates, our expenses could increase and our ability to obtain commercial revenue could be further delayed and become more uncertain, which will have a material adverse impact on our business.</w:t>
      </w:r>
    </w:p>
    <w:p>
      <w:pPr>
        <w:spacing w:after="0" w:line="2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Our success payment and contingent consideration obligations in our license and acquisition agreements may result in dilution to our stockholders, drain our cash resources, or require us to incur debt to satisfy the payment obligations.</w:t>
      </w:r>
    </w:p>
    <w:p>
      <w:pPr>
        <w:spacing w:after="0" w:line="5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agreed to make success payments, payable in cash, pursuant to our license agreement with Harvard and contingent consideration and success payments, payable in cash or stock, pursuant to our acquisition agreement with Cobalt. Pursuant to the terms of our license agreement with Harvard,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December 31, 2025, a Harvard Success Payment had not been triggered. See Note 5, License and collaboration agreements to our consolidated financial statements included elsewhere in this Annual Report for more details on the various per share common stock values that trigger a Harvard Success Payment.</w:t>
      </w:r>
    </w:p>
    <w:p>
      <w:pPr>
        <w:spacing w:after="0" w:line="20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Pursuant to the terms of the Cobalt acquisition agreement, we are obligated to pay to certain former Cobalt stockholders contingent consideration (Cobalt Contingent Consideration) of up to an aggregate of $500.0 million upon our achievement of certain pre-defined development milestones and a success payment (Cobalt Success Payment) of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BLA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the change of control, the amount of the potential Cobalt Success Payment will decrease, and the amount of potential Cobalt Contingent Consideration will increase. As of December 31, 2025, a Cobalt Success Payment had not been triggered. See Note 4, Acquisitions, to our consolidated financial statements included elsewhere in this Annual Report for details on the amount of the potential Cobalt Success Payment and potential Cobalt Contingent Consideration if there is a change of control based on various thresholds for our market capitalization on such change of control date.</w:t>
      </w:r>
    </w:p>
    <w:p>
      <w:pPr>
        <w:spacing w:after="0" w:line="212"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In order to satisfy our obligations to make these payments, if and when they are triggered, we may issue equity or convertible debt securities that may cause dilution to our stockholders, or we may use our existing cash or incur debt to satisfy the payment obligations in cash, which may adversely affect our financial position. In addition, these payments may impede our ability to raise money in future public offerings of debt or equity securities or to obtain a third-party line of credit.</w:t>
      </w:r>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contingent consideration and success payment obligations in our license and acquisition agreements may cause our operating results, net losses, and financial condition as reported by United States generally accepted accounting principles to fluctuate significantly from quarter to quarter and year to year, which may reduce the usefulness of our financial statements.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Our success payment and contingent consideration obligations under our license and acquisition agreements are recorded as liabilities on our balance sheets. Under United States generally accepted accounting principles (GAAP), we are required to estimate the fair value of these liabilities as of each quarter end, with changes in the estimated fair value recorded in research and development-related success payments and contingent consideration. Factors that may lead to increases or decreases in the estimated fair value of the success payment liabilities include, among others, changes in the value of our common stock and market capitalization, changes in volatility, the estimated number and timing of valuation measurement dates, the term of the success payments, and changes in the risk-free interest rate. Factors that may lead to increases or decreases in the estimated fair value of our contingent consideration obligations include, among others, the estimated likelihood and timing within which milestones may be achieved and the estimated discount rates. A small change in the inputs and related assumptions with respect to our success payment liabilities and contingent consideration may result in a relatively large change in the estimated valuation and associated liabilities and resulting expense or gain. As a result, our operating results, net losses, and financial condition as reported by GAAP may fluctuate significantly from quarter to quarter and year to year for reasons unrelated to our operations, which may reduce the usefulness of our GAAP financial statements. For example, as of December 31, 2025 and 2024, the estimated aggregate fair value of the Cobalt Success Payment and Harvard Success Payment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10800"/>
          </w:cols>
          <w:pgMar w:left="540" w:top="750" w:right="540" w:bottom="0" w:gutter="0" w:footer="0" w:header="0"/>
          <w:type w:val="continuous"/>
        </w:sectPr>
      </w:pPr>
    </w:p>
    <w:bookmarkStart w:id="125" w:name="page126"/>
    <w:bookmarkEnd w:id="125"/>
    <w:p>
      <w:pPr>
        <w:ind w:right="260"/>
        <w:spacing w:after="0" w:line="277" w:lineRule="auto"/>
        <w:rPr>
          <w:sz w:val="20"/>
          <w:szCs w:val="20"/>
          <w:color w:val="auto"/>
        </w:rPr>
      </w:pPr>
      <w:r>
        <w:rPr>
          <w:rFonts w:ascii="Times New Roman" w:cs="Times New Roman" w:eastAsia="Times New Roman" w:hAnsi="Times New Roman"/>
          <w:sz w:val="20"/>
          <w:szCs w:val="20"/>
          <w:color w:val="231F20"/>
        </w:rPr>
        <w:t>liabilities was $19.2 million and $4.5 million, respectively, and the estimated fair value of the Cobalt Contingent Consideration was $123.7 million and $109.0 million, respectively.</w:t>
      </w:r>
    </w:p>
    <w:p>
      <w:pPr>
        <w:spacing w:after="0" w:line="16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For the three and twelve months ended December 31, 2025, we recorded expenses of $5.5 million and $14.7 million, respectively, related to the aggregate change in the estimated fair value of the Cobalt Success Payment and Harvard Success Payment liabilities. For the three and twelve months ended December 31, 2025, we recorded expenses of $8.6 million and $14.7 million, respectively, related to the change in the estimated fair value of the Cobalt Contingent Consideration. We have incurred net losses since our inception and expect to continue to incur net losses for the foreseeable future. It is possible that future fluctuations in the price of our common stock and market capitalization and the resulting change in the estimated fair value of our success payment liabilities could lead us to record net income in a future period despite us incurring operating losses and negative cash flows during such period. Alternatively, significant stock appreciation during a future period could lead to a significant increase in our recorded GAAP net loss.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limited operating history may make it difficult to evaluate our prospects and likelihood of success.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We have a limited operating history upon which to evaluate our business and prospects. Since our inception in July 2018, we have devoted substantially all of our resources and efforts to building our organization, developing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identifying and developing potential product candidates, executing preclinical studies, establishing manufacturing capabilities, preparing for and conducting clinical trials of our product candidates, acquiring technologies, organizing and staffing the company, business planning, establishing and maintaining our intellectual property portfolio, raising capital, and providing general and administrative support for these operations. We have not yet demonstrated our ability to successfully complete any clinical trials, including Phase 3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predictions about our future success or viability are difficult to make and may not be as accurate as they could be if we had a longer operating history.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Commercialization of Our Product Candidates</w:t>
      </w:r>
    </w:p>
    <w:p>
      <w:pPr>
        <w:spacing w:after="0" w:line="116" w:lineRule="exact"/>
        <w:rPr>
          <w:sz w:val="20"/>
          <w:szCs w:val="20"/>
          <w:color w:val="auto"/>
        </w:rPr>
      </w:pPr>
    </w:p>
    <w:p>
      <w:pPr>
        <w:ind w:right="8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We operate in highly competitive and rapidly changing industries, which may result in others discovering, developing, or commercializing competing products before or more successfully than we do.</w:t>
      </w:r>
    </w:p>
    <w:p>
      <w:pPr>
        <w:spacing w:after="0" w:line="48"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companies,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these industries.</w:t>
      </w:r>
    </w:p>
    <w:p>
      <w:pPr>
        <w:spacing w:after="0" w:line="198" w:lineRule="exact"/>
        <w:rPr>
          <w:sz w:val="20"/>
          <w:szCs w:val="20"/>
          <w:color w:val="auto"/>
        </w:rPr>
      </w:pPr>
    </w:p>
    <w:p>
      <w:pPr>
        <w:ind w:right="100" w:firstLine="490"/>
        <w:spacing w:after="0" w:line="238" w:lineRule="auto"/>
        <w:rPr>
          <w:sz w:val="20"/>
          <w:szCs w:val="20"/>
          <w:color w:val="auto"/>
        </w:rPr>
      </w:pPr>
      <w:r>
        <w:rPr>
          <w:rFonts w:ascii="Times New Roman" w:cs="Times New Roman" w:eastAsia="Times New Roman" w:hAnsi="Times New Roman"/>
          <w:sz w:val="20"/>
          <w:szCs w:val="20"/>
          <w:color w:val="231F20"/>
        </w:rPr>
        <w:t>With the proliferation of new drugs and therapies for our target indications, and as new technologies become available, we expect to face increasingly intense competition. If we fail to stay at the forefront of technological change, we may be unable to compete effectively. Any product candidates that we successfully develop and are able to commercialize, including those for the treatment of type 1 diabetes, B-cell cancers, and B-cell mediated autoimmune diseases, will compete with existing therapies and new therapies that may become available in the future, which may include CAR T, cellular, antibody, small molecule, and other types of therapies. The highly competitive nature of and rapid technological changes in the biotechnology and pharmaceutical industries could render our product candidates or our technologies obsolete, less competitive, or uneconomical. Our competitors may, among other things:</w:t>
      </w:r>
    </w:p>
    <w:p>
      <w:pPr>
        <w:spacing w:after="0" w:line="92" w:lineRule="exact"/>
        <w:rPr>
          <w:sz w:val="20"/>
          <w:szCs w:val="20"/>
          <w:color w:val="auto"/>
        </w:rPr>
      </w:pPr>
    </w:p>
    <w:p>
      <w:pPr>
        <w:ind w:left="980" w:right="20" w:hanging="490"/>
        <w:spacing w:after="0" w:line="267" w:lineRule="auto"/>
        <w:tabs>
          <w:tab w:leader="none" w:pos="98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have significantly greater financial, manufacturing, marketing, drug development, technical, and human resources than we have;</w:t>
      </w:r>
    </w:p>
    <w:p>
      <w:pPr>
        <w:spacing w:after="0" w:line="62" w:lineRule="exact"/>
        <w:rPr>
          <w:rFonts w:ascii="Arial" w:cs="Arial" w:eastAsia="Arial" w:hAnsi="Arial"/>
          <w:sz w:val="20"/>
          <w:szCs w:val="20"/>
          <w:color w:val="231F20"/>
        </w:rPr>
      </w:pPr>
    </w:p>
    <w:p>
      <w:pPr>
        <w:ind w:left="980" w:right="500" w:hanging="490"/>
        <w:spacing w:after="0" w:line="294" w:lineRule="auto"/>
        <w:tabs>
          <w:tab w:leader="none" w:pos="980" w:val="left"/>
        </w:tabs>
        <w:numPr>
          <w:ilvl w:val="0"/>
          <w:numId w:val="63"/>
        </w:numPr>
        <w:rPr>
          <w:rFonts w:ascii="Arial" w:cs="Arial" w:eastAsia="Arial" w:hAnsi="Arial"/>
          <w:sz w:val="19"/>
          <w:szCs w:val="19"/>
          <w:color w:val="231F20"/>
        </w:rPr>
      </w:pPr>
      <w:r>
        <w:rPr>
          <w:rFonts w:ascii="Times New Roman" w:cs="Times New Roman" w:eastAsia="Times New Roman" w:hAnsi="Times New Roman"/>
          <w:sz w:val="19"/>
          <w:szCs w:val="19"/>
          <w:color w:val="231F20"/>
        </w:rPr>
        <w:t>develop and commercialize products that are safer, more effective, less expensive, more convenient, or easier to administer, or have fewer or less severe side effects than any products for which we may obtain regulatory approval;</w:t>
      </w:r>
    </w:p>
    <w:p>
      <w:pPr>
        <w:spacing w:after="0" w:line="38" w:lineRule="exact"/>
        <w:rPr>
          <w:rFonts w:ascii="Arial" w:cs="Arial" w:eastAsia="Arial" w:hAnsi="Arial"/>
          <w:sz w:val="19"/>
          <w:szCs w:val="19"/>
          <w:color w:val="231F20"/>
        </w:rPr>
      </w:pPr>
    </w:p>
    <w:p>
      <w:pPr>
        <w:ind w:left="980" w:right="880" w:hanging="490"/>
        <w:spacing w:after="0" w:line="267" w:lineRule="auto"/>
        <w:tabs>
          <w:tab w:leader="none" w:pos="98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obtain regulatory approval for, and commercialize products more quickly than we do, including due to differences in regulatory approval processes across the jurisdictions in which we and our competitors operate;</w:t>
      </w:r>
    </w:p>
    <w:p>
      <w:pPr>
        <w:sectPr>
          <w:pgSz w:w="11880" w:h="15480" w:orient="portrait"/>
          <w:cols w:equalWidth="0" w:num="1">
            <w:col w:w="10800"/>
          </w:cols>
          <w:pgMar w:left="540" w:top="750" w:right="540"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10800"/>
          </w:cols>
          <w:pgMar w:left="540" w:top="750" w:right="540" w:bottom="0" w:gutter="0" w:footer="0" w:header="0"/>
          <w:type w:val="continuous"/>
        </w:sectPr>
      </w:pPr>
    </w:p>
    <w:bookmarkStart w:id="126" w:name="page127"/>
    <w:bookmarkEnd w:id="126"/>
    <w:p>
      <w:pPr>
        <w:ind w:left="980" w:hanging="490"/>
        <w:spacing w:after="0"/>
        <w:tabs>
          <w:tab w:leader="none" w:pos="98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proprietary positions covering our products and technologies;</w:t>
      </w:r>
    </w:p>
    <w:p>
      <w:pPr>
        <w:spacing w:after="0" w:line="123" w:lineRule="exact"/>
        <w:rPr>
          <w:rFonts w:ascii="Arial" w:cs="Arial" w:eastAsia="Arial" w:hAnsi="Arial"/>
          <w:sz w:val="20"/>
          <w:szCs w:val="20"/>
          <w:color w:val="231F20"/>
        </w:rPr>
      </w:pPr>
    </w:p>
    <w:p>
      <w:pPr>
        <w:ind w:left="980" w:hanging="490"/>
        <w:spacing w:after="0"/>
        <w:tabs>
          <w:tab w:leader="none" w:pos="98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implement more effective approaches to sales and marketing; or</w:t>
      </w:r>
    </w:p>
    <w:p>
      <w:pPr>
        <w:spacing w:after="0" w:line="123" w:lineRule="exact"/>
        <w:rPr>
          <w:rFonts w:ascii="Arial" w:cs="Arial" w:eastAsia="Arial" w:hAnsi="Arial"/>
          <w:sz w:val="20"/>
          <w:szCs w:val="20"/>
          <w:color w:val="231F20"/>
        </w:rPr>
      </w:pPr>
    </w:p>
    <w:p>
      <w:pPr>
        <w:ind w:left="980" w:hanging="490"/>
        <w:spacing w:after="0"/>
        <w:tabs>
          <w:tab w:leader="none" w:pos="98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form more advantageous strategic alliances.</w:t>
      </w:r>
    </w:p>
    <w:p>
      <w:pPr>
        <w:spacing w:after="0" w:line="230" w:lineRule="exact"/>
        <w:rPr>
          <w:sz w:val="20"/>
          <w:szCs w:val="20"/>
          <w:color w:val="auto"/>
        </w:rPr>
      </w:pPr>
    </w:p>
    <w:p>
      <w:pPr>
        <w:ind w:right="560" w:firstLine="490"/>
        <w:spacing w:after="0" w:line="267" w:lineRule="auto"/>
        <w:rPr>
          <w:sz w:val="20"/>
          <w:szCs w:val="20"/>
          <w:color w:val="auto"/>
        </w:rPr>
      </w:pPr>
      <w:r>
        <w:rPr>
          <w:rFonts w:ascii="Times New Roman" w:cs="Times New Roman" w:eastAsia="Times New Roman" w:hAnsi="Times New Roman"/>
          <w:sz w:val="20"/>
          <w:szCs w:val="20"/>
          <w:color w:val="231F20"/>
        </w:rPr>
        <w:t>Our business, financial condition, and results of operations could be materially adversely affected by any of the foregoing events.</w:t>
      </w:r>
    </w:p>
    <w:p>
      <w:pPr>
        <w:spacing w:after="0" w:line="169" w:lineRule="exact"/>
        <w:rPr>
          <w:sz w:val="20"/>
          <w:szCs w:val="20"/>
          <w:color w:val="auto"/>
        </w:rPr>
      </w:pPr>
    </w:p>
    <w:p>
      <w:pPr>
        <w:ind w:right="180" w:firstLine="490"/>
        <w:spacing w:after="0" w:line="239" w:lineRule="auto"/>
        <w:rPr>
          <w:sz w:val="20"/>
          <w:szCs w:val="20"/>
          <w:color w:val="auto"/>
        </w:rPr>
      </w:pPr>
      <w:r>
        <w:rPr>
          <w:rFonts w:ascii="Times New Roman" w:cs="Times New Roman" w:eastAsia="Times New Roman" w:hAnsi="Times New Roman"/>
          <w:sz w:val="20"/>
          <w:szCs w:val="20"/>
          <w:color w:val="231F20"/>
        </w:rPr>
        <w:t>In addition, our potential future collaborators may decide to market and sell products that compete with the product candidates that are the subject of our collaboration, which could have a material adverse effect on our future business, financial condition, and results of operations. As described elsewhere in these Risk Factors and in the subsection titled “Business—Competition” in this Annual Report, we currently and in the future will compete with third parties in the development and commercialization of our product candidates.</w:t>
      </w:r>
    </w:p>
    <w:p>
      <w:pPr>
        <w:spacing w:after="0" w:line="31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Market opportunity and market growth for our product candidates may prove to be smaller than we initially estimated, and even if the markets in which we compete achieve the forecasted growth, our business may not grow at similar rates or at all, or we may otherwise be unable to capitalize on this opportunity.</w:t>
      </w:r>
    </w:p>
    <w:p>
      <w:pPr>
        <w:spacing w:after="0" w:line="67"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231F20"/>
        </w:rPr>
        <w:t>We intend to initially focus our product candidate development on treatments for various diseases caused by missing or damaged cells.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including if the cost of treatment with our product candidates, including any required co-payments, is expensive or higher than other available therapies. Our market opportunity may also be limited by future competitor therapies that enter the market. In addition, because we may develop one or more product candidates as a functional cure for a target disease, the prevalence of such disease may decrease over time and we may not receive recurring revenues from sales of such product candidate, if approved. If any of our estimates proves to be inaccurate, the market opportunity for any product candidate that we or our strategic partners develop could be significantly diminished, which would have an adverse material impact on our business.</w:t>
      </w:r>
    </w:p>
    <w:p>
      <w:pPr>
        <w:spacing w:after="0" w:line="207"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color w:val="231F20"/>
        </w:rPr>
        <w:t>In particular, certain of our product candidates may be intended to treat cancer, and, in particular, B-cell cancers. Cancer therapies are sometimes characterized as first-line, second-line, or third-line and beyond, and the FDA often approves new therapies initially only for a particular line of use. When cancer is detected early enough, first-line therapy is sometimes adequate to cure the cancer or prolong life without a cure. Whenever first- line therapy, which usually consists of chemotherapy, antibody drugs, tumor-targeted small molecules, hormone therapy, radiation therapy, surgery, or a combination of these, proves unsuccessful, second-line therapy may be administered. Second-line therapies often consist of more chemotherapy, antibody drugs, tumor-targeted small molecules, radiation therapy, or a combination of these. Third-line therapies can include chemotherapy, antibody drugs, and small molecule tumor-targeted therapies, more invasive forms of surgery, and new technologies. The use of certain classes of therapies, including CAR T therapies, has been limited to a subset of patients with relapsed or refractory disease. Our projections of both the number of people who have the cancers we are targeting, as well as the subset of people with these cancers who are in a position to receive a particular line of therapy and who have the potential to benefit from treatment with our product candidates, are based on our beliefs and estimates. Consequently, even if our product candidates are approved for a later line of therapy, the number of patients that may be eligible for treatment with our product candidates may turn out to be much lower than expected.</w:t>
      </w:r>
    </w:p>
    <w:p>
      <w:pPr>
        <w:spacing w:after="0" w:line="200"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231F20"/>
        </w:rPr>
        <w:t>In addition, even if the market opportunity for our product candidates achieves or exceeds the level and growth we anticipate, we may be unable to grow our business at the rate or in the manner necessary to successfully capitalize on this opportunity, including due to limited financial, personnel, and other resources. Our ability to successfully commercialize our product candidates will also be affected by numerous factors beyond our control, including limitations on third-party resources and infrastructure and other factors discussed in these Risk Factors.</w:t>
      </w:r>
    </w:p>
    <w:p>
      <w:pPr>
        <w:spacing w:after="0" w:line="322"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We currently have no marketing, sales, or distribution infrastructure and we intend to either establish a sales and marketing infrastructure or outsource this function to a third party. Each of these commercialization strategies carries substantial risks to us.</w:t>
      </w:r>
    </w:p>
    <w:p>
      <w:pPr>
        <w:spacing w:after="0" w:line="2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currently have no marketing, sales, or distribution capabilities because all of our product candidates are in the early stages of development. If one or more of our product candidates complete clinical development and receive regulatory approval, we intend to either establish a sales and marketing organization with technical expertise and supporting distribution capabilities to commercialize our product candidates in a legally compliant manner, or to outsource this function to a third party, both of which involve significant risks.</w:t>
      </w:r>
    </w:p>
    <w:p>
      <w:pPr>
        <w:sectPr>
          <w:pgSz w:w="11880" w:h="15480" w:orient="portrait"/>
          <w:cols w:equalWidth="0" w:num="1">
            <w:col w:w="10800"/>
          </w:cols>
          <w:pgMar w:left="540" w:top="756" w:right="540" w:bottom="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10800"/>
          </w:cols>
          <w:pgMar w:left="540" w:top="756" w:right="540" w:bottom="0" w:gutter="0" w:footer="0" w:header="0"/>
          <w:type w:val="continuous"/>
        </w:sectPr>
      </w:pPr>
    </w:p>
    <w:bookmarkStart w:id="127" w:name="page128"/>
    <w:bookmarkEnd w:id="127"/>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If we elect to establish our own sales and marketing capabilities, we will incur significant additional costs, including to hire and retain qualified personnel to build out the organization, and we may be unable to build out this organization in a way that will enable us to successfully market our products and generate revenues. If we elect to enter into arrangements with third parties to perform sales and marketing with respect to our product candidates, we may be unable to identify suitable partners, and even if we do identify such partners, we may be unable to negotiate the terms of such arrangement in a timely manner or at all, which could delay our marketing efforts and our ability to generate revenues. To the extent that we are able to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our collaborator devotes to our products or that our collaborator’s willingness or ability to complete its obligations, and our ability to complete our obligations under these arrangements, may be adversely affected by business combinations or significant changes in our collaborator’s business strategy. If we are unable to enter into these arrangements on acceptable terms, or at all, we may not be able to successfully commercialize any products for which we receive regulatory approval.</w:t>
      </w:r>
    </w:p>
    <w:p>
      <w:pPr>
        <w:spacing w:after="0" w:line="200" w:lineRule="exact"/>
        <w:rPr>
          <w:sz w:val="20"/>
          <w:szCs w:val="20"/>
          <w:color w:val="auto"/>
        </w:rPr>
      </w:pPr>
    </w:p>
    <w:p>
      <w:pPr>
        <w:jc w:val="both"/>
        <w:ind w:right="380" w:firstLine="490"/>
        <w:spacing w:after="0" w:line="251" w:lineRule="auto"/>
        <w:rPr>
          <w:sz w:val="20"/>
          <w:szCs w:val="20"/>
          <w:color w:val="auto"/>
        </w:rPr>
      </w:pPr>
      <w:r>
        <w:rPr>
          <w:rFonts w:ascii="Times New Roman" w:cs="Times New Roman" w:eastAsia="Times New Roman" w:hAnsi="Times New Roman"/>
          <w:sz w:val="20"/>
          <w:szCs w:val="20"/>
          <w:color w:val="231F20"/>
        </w:rPr>
        <w:t>If we are not successful in commercializing any approved products, either on our own or through collaborations with one or more third parties, our ability to generate product revenue will suffer and we may incur significant additional losses, which would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product candidates for which we intend to seek approval as biologic products may face competition sooner than anticipated.</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substantial evidence that such product provides benefits that outweigh its known and potential risks for the intended patient population, as well as data that demonstrate that such product can be manufactured to a pre-defined standard.</w:t>
      </w:r>
    </w:p>
    <w:p>
      <w:pPr>
        <w:spacing w:after="0" w:line="196" w:lineRule="exact"/>
        <w:rPr>
          <w:sz w:val="20"/>
          <w:szCs w:val="20"/>
          <w:color w:val="auto"/>
        </w:rPr>
      </w:pPr>
    </w:p>
    <w:p>
      <w:pPr>
        <w:ind w:right="80" w:firstLine="490"/>
        <w:spacing w:after="0" w:line="239" w:lineRule="auto"/>
        <w:rPr>
          <w:sz w:val="20"/>
          <w:szCs w:val="20"/>
          <w:color w:val="auto"/>
        </w:rPr>
      </w:pPr>
      <w:r>
        <w:rPr>
          <w:rFonts w:ascii="Times New Roman" w:cs="Times New Roman" w:eastAsia="Times New Roman" w:hAnsi="Times New Roman"/>
          <w:sz w:val="20"/>
          <w:szCs w:val="20"/>
          <w:color w:val="231F20"/>
        </w:rPr>
        <w:t>We believe that any of our product candidates that may be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9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Jurisdictions outside the United States have also established abbreviated pathways for regulatory approval of biological products that are biosimilar to earlier approved reference products. For example, the EU has had an established regulatory pathway for biosimilars since 2004. However, biosimilars can only be authorized once the period of data exclusivity on the reference biological medicine has expired.</w:t>
      </w:r>
    </w:p>
    <w:p>
      <w:pPr>
        <w:spacing w:after="0" w:line="193"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231F20"/>
        </w:rPr>
        <w:t>The increased likelihood of biosimilar competition has increased the risk of loss of innovators’ market exclusivity. As a result of this and uncertainties regarding patent protection, we are not currently able to predict with certainty the length of market exclusivity for any particular product candidate that may receive marketing approval based solely on the expiration of the relevant patent(s) or the current forms of regulatory exclusivity. There may also be future changes in United States regulatory law that might reduce biological product regulatory exclusivity. The loss of market exclusivity for any product for which we receive regulatory approval could materially and negatively affect or prevent our ability to generate revenues, which could prevent us from achieving or sustaining profitability.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Common Stock</w:t>
      </w:r>
    </w:p>
    <w:p>
      <w:pPr>
        <w:spacing w:after="0" w:line="1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our executive officers, directors, holders of 5% or more of our capital stock, and their respective affiliates, beneficially owned, in the aggregate, approximately 49.3%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to our organizational documents,</w:t>
      </w:r>
    </w:p>
    <w:p>
      <w:pPr>
        <w:sectPr>
          <w:pgSz w:w="11880" w:h="15480" w:orient="portrait"/>
          <w:cols w:equalWidth="0" w:num="1">
            <w:col w:w="10780"/>
          </w:cols>
          <w:pgMar w:left="540" w:top="744" w:right="560" w:bottom="0"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10780"/>
          </w:cols>
          <w:pgMar w:left="540" w:top="744" w:right="560" w:bottom="0" w:gutter="0" w:footer="0" w:header="0"/>
          <w:type w:val="continuous"/>
        </w:sectPr>
      </w:pPr>
    </w:p>
    <w:bookmarkStart w:id="128" w:name="page129"/>
    <w:bookmarkEnd w:id="128"/>
    <w:p>
      <w:pPr>
        <w:ind w:right="80"/>
        <w:spacing w:after="0" w:line="277" w:lineRule="auto"/>
        <w:rPr>
          <w:sz w:val="20"/>
          <w:szCs w:val="20"/>
          <w:color w:val="auto"/>
        </w:rPr>
      </w:pPr>
      <w:r>
        <w:rPr>
          <w:rFonts w:ascii="Times New Roman" w:cs="Times New Roman" w:eastAsia="Times New Roman" w:hAnsi="Times New Roman"/>
          <w:sz w:val="20"/>
          <w:szCs w:val="20"/>
          <w:color w:val="231F20"/>
        </w:rPr>
        <w:t>or approval of any merger, sale of assets, or other major corporate transaction. This may prevent or discourage unsolicited acquisition proposals or offers for our common stock that other stockholders may feel are in their best interests.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sales of our securities by us in the public market could cause our common stock price to fall.</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At any time in the future we may sell a large number of shares of our common stock or rights to acquire a large number of shares of our common stock. Such sales, or the perception that such sales could occur, could cause our common stock price to decline as a result of, among other things, dilution from these sales, including pursuant to the exercise or conversion of rights to acquire our common stock, or discounts to the trading price of our common stock associated with such sales. In addition, transactions involving a large number of shares of our common stock, or the possibility that these transactions may occur, may also make it more difficult for us to sell equity securities in the future at a time and price that we deem appropriate.</w:t>
      </w:r>
    </w:p>
    <w:p>
      <w:pPr>
        <w:spacing w:after="0" w:line="194"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231F20"/>
        </w:rPr>
        <w:t>We expect that we will need significant additional capital in the future to support our planned operations, including conducting clinical trials, manufacturing, and other research and development activities, commercializing any product candidates for which we may obtain regulatory approval, and continuing to operate as a public company. To raise capital, we may sell shares of our common stock, warrants, convertible securities, or other securities in one or more transactions at prices and in a manner we determine from time to time. For example, as described elsewhere in this Annual Report, we have sold shares of common stock in the ATM facility and shares of common stock and pre-funded warrants in our August 2025 and February 2024 underwritten public offerings. In the future, we may issue additional securities, including shares of common stock or other equity or debt securities convertible into common stock, in connection with the ATM facility, a financing, acquisition, employee arrangement, or otherwise. Any such issuance could result in substantial dilution to our existing stockholders, cause the price of our common stock to decline, and result in new investors gaining rights, preferences, and privileges senior to the holders of our common stock.</w:t>
      </w:r>
    </w:p>
    <w:p>
      <w:pPr>
        <w:spacing w:after="0" w:line="326"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Sales of a substantial number of shares of our common stock by our existing stockholders in the public market, or the perception that such sales could occur, could cause our stock price to fall.</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If our existing stockholders sell, indicate an intention to sell, or there is a perception in the market that they intend to sell, a large number of shares of our common stock, the trading price of our common stock could decline. As of December 31, 2025, 266.7 million shares of our common stock were outstanding, which excludes shares of common stock issued upon exercise of outstanding equity awards, in each case, after December 31, 2025, and 40.6% of such shares were beneficially owned by holders of 5% or more of our common stock. In addition, shares of common stock that are either subject to outstanding options or reserved for future issuance under our employee benefit plans will become eligible for sale in the public market to the extent permitted by the provisions of various vesting schedules, applicable lock-up agreements, and Rule 144 and Rule 701 under the Securities Act of 1933, as amended (Securities Act). If these additional shares of common stock are sold, or there is a perception that they will be sold, in the public market, the trading price of our common stock could decline. Any sales of securities by these stockholders could have a material adverse effect on the trading price of our common stock.</w:t>
      </w:r>
    </w:p>
    <w:p>
      <w:pPr>
        <w:spacing w:after="0" w:line="3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do not currently intend to pay dividends on our common stock and, consequently, our stockholders’ ability to achieve a return on their investment will depend on appreciation of the value of our common stock.</w:t>
      </w:r>
    </w:p>
    <w:p>
      <w:pPr>
        <w:spacing w:after="0" w:line="4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w:t>
      </w:r>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p>
    <w:p>
      <w:pPr>
        <w:spacing w:after="0" w:line="6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3" w:lineRule="exact"/>
        <w:rPr>
          <w:sz w:val="20"/>
          <w:szCs w:val="20"/>
          <w:color w:val="auto"/>
        </w:rPr>
      </w:pPr>
    </w:p>
    <w:p>
      <w:pPr>
        <w:ind w:left="980" w:right="60" w:hanging="490"/>
        <w:spacing w:after="0" w:line="276"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 staggered Board divided into three classes serving staggered three-year terms, such that not all members of the Board are elected at one time;</w:t>
      </w:r>
    </w:p>
    <w:p>
      <w:pPr>
        <w:spacing w:after="0" w:line="64" w:lineRule="exact"/>
        <w:rPr>
          <w:rFonts w:ascii="Arial" w:cs="Arial" w:eastAsia="Arial" w:hAnsi="Arial"/>
          <w:sz w:val="20"/>
          <w:szCs w:val="20"/>
          <w:color w:val="231F20"/>
        </w:rPr>
      </w:pPr>
    </w:p>
    <w:p>
      <w:pPr>
        <w:ind w:left="980" w:right="80" w:hanging="490"/>
        <w:spacing w:after="0" w:line="258"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10780"/>
          </w:cols>
          <w:pgMar w:left="540" w:top="750" w:right="560" w:bottom="0" w:gutter="0" w:footer="0" w:header="0"/>
          <w:type w:val="continuous"/>
        </w:sectPr>
      </w:pPr>
    </w:p>
    <w:bookmarkStart w:id="129" w:name="page130"/>
    <w:bookmarkEnd w:id="129"/>
    <w:p>
      <w:pPr>
        <w:ind w:left="980" w:hanging="490"/>
        <w:spacing w:after="0"/>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eliminate the ability of our stockholders to call special meetings of stockholders;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eliminate the ability of our stockholders to fill vacancies on our Board;</w:t>
      </w:r>
    </w:p>
    <w:p>
      <w:pPr>
        <w:spacing w:after="0" w:line="133"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advance notice requirements for nominations for election to our Board or for proposing matters that can be acted upon by stockholders at our annual stockholder meetings;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permit our Board to establish the number of directors;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our Board is expressly authorized to make, alter, or repeal our bylaws;</w:t>
      </w:r>
    </w:p>
    <w:p>
      <w:pPr>
        <w:spacing w:after="0" w:line="133"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stockholders can remove directors only for cause and only upon the approval of not less than 66 2/3% of all outstanding shares of our voting stock;</w:t>
      </w:r>
    </w:p>
    <w:p>
      <w:pPr>
        <w:spacing w:after="0" w:line="64" w:lineRule="exact"/>
        <w:rPr>
          <w:rFonts w:ascii="Arial" w:cs="Arial" w:eastAsia="Arial" w:hAnsi="Arial"/>
          <w:sz w:val="20"/>
          <w:szCs w:val="20"/>
          <w:color w:val="231F20"/>
        </w:rPr>
      </w:pPr>
    </w:p>
    <w:p>
      <w:pPr>
        <w:ind w:left="980" w:right="580" w:hanging="490"/>
        <w:spacing w:after="0" w:line="276" w:lineRule="auto"/>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the approval of not less than 66 2/3% of all outstanding shares of our voting stock to amend our bylaws and specific provisions of our certificate of incorporation;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the jurisdictions in which certain stockholder litigation may be brought.</w:t>
      </w:r>
    </w:p>
    <w:p>
      <w:pPr>
        <w:spacing w:after="0" w:line="23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As a Delaware corporation, we are subject to the anti-takeover provisions of Section 203 of the Delaware General Corporation Law (DGCL),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our company.</w:t>
      </w: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Our amended and restated certificate of incorporation provides that, unless we consent in writing to the selection of an alternative forum, the sole and exclusive forum, to the fullest extent permitted by law, for (i) any derivative action or proceeding brought on our behalf, (ii) any action asserting a claim of breach of a fiduciary duty owed by any director, officer, or other employee to us or our stockholders, (iii) any action arising pursuant to the DGCL, (iv) any action arising pursuant to our amended and restated certificate of incorporation or amended and restated bylaws, including with respect to the interpretation, application, enforcement, or validity thereof, or (v) any other action asserting a claim against us that is governed by the internal affairs doctrine, shall be the Court of Chancery of the State of Delaware (or another state court or the federal court located within the State of Delaware if the Court of Chancery does not have jurisdiction),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(Exchange Act), or any other claim for which the federal courts of the United States have exclusive jurisdiction.</w:t>
      </w:r>
    </w:p>
    <w:p>
      <w:pPr>
        <w:spacing w:after="0" w:line="198" w:lineRule="exact"/>
        <w:rPr>
          <w:sz w:val="20"/>
          <w:szCs w:val="20"/>
          <w:color w:val="auto"/>
        </w:rPr>
      </w:pPr>
    </w:p>
    <w:p>
      <w:pPr>
        <w:ind w:right="80" w:firstLine="490"/>
        <w:spacing w:after="0" w:line="235" w:lineRule="auto"/>
        <w:rPr>
          <w:sz w:val="20"/>
          <w:szCs w:val="20"/>
          <w:color w:val="auto"/>
        </w:rPr>
      </w:pPr>
      <w:r>
        <w:rPr>
          <w:rFonts w:ascii="Times New Roman" w:cs="Times New Roman" w:eastAsia="Times New Roman" w:hAnsi="Times New Roman"/>
          <w:sz w:val="20"/>
          <w:szCs w:val="20"/>
          <w:color w:val="231F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 carryforwards and certain other tax attributes may be limited.</w:t>
      </w:r>
    </w:p>
    <w:p>
      <w:pPr>
        <w:spacing w:after="0" w:line="111" w:lineRule="exact"/>
        <w:rPr>
          <w:sz w:val="20"/>
          <w:szCs w:val="20"/>
          <w:color w:val="auto"/>
        </w:rPr>
      </w:pPr>
    </w:p>
    <w:p>
      <w:pPr>
        <w:ind w:right="140" w:firstLine="490"/>
        <w:spacing w:after="0" w:line="238" w:lineRule="auto"/>
        <w:rPr>
          <w:sz w:val="20"/>
          <w:szCs w:val="20"/>
          <w:color w:val="auto"/>
        </w:rPr>
      </w:pPr>
      <w:r>
        <w:rPr>
          <w:rFonts w:ascii="Times New Roman" w:cs="Times New Roman" w:eastAsia="Times New Roman" w:hAnsi="Times New Roman"/>
          <w:sz w:val="20"/>
          <w:szCs w:val="20"/>
          <w:color w:val="231F20"/>
        </w:rPr>
        <w:t>Under the Tax Cuts and Jobs Act of 2017 (Tax Act), as modified by the Coronavirus Aid, Relief, and Economic Stability Act (CARES Act), our federal net operating losses (NOLs) generated in tax years beginning after December 31, 2017, may be carried forward indefinitely, but the deductibility of such federal NOLs is limited to 80% of taxable income. In addition,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w:t>
      </w:r>
    </w:p>
    <w:p>
      <w:pPr>
        <w:sectPr>
          <w:pgSz w:w="11880" w:h="15480" w:orient="portrait"/>
          <w:cols w:equalWidth="0" w:num="1">
            <w:col w:w="10780"/>
          </w:cols>
          <w:pgMar w:left="540" w:top="764" w:right="560" w:bottom="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10780"/>
          </w:cols>
          <w:pgMar w:left="540" w:top="764" w:right="560" w:bottom="0" w:gutter="0" w:footer="0" w:header="0"/>
          <w:type w:val="continuous"/>
        </w:sectPr>
      </w:pPr>
    </w:p>
    <w:bookmarkStart w:id="130" w:name="page131"/>
    <w:bookmarkEnd w:id="130"/>
    <w:p>
      <w:pPr>
        <w:ind w:right="180"/>
        <w:spacing w:after="0" w:line="238" w:lineRule="auto"/>
        <w:rPr>
          <w:sz w:val="20"/>
          <w:szCs w:val="20"/>
          <w:color w:val="auto"/>
        </w:rPr>
      </w:pPr>
      <w:r>
        <w:rPr>
          <w:rFonts w:ascii="Times New Roman" w:cs="Times New Roman" w:eastAsia="Times New Roman" w:hAnsi="Times New Roman"/>
          <w:sz w:val="20"/>
          <w:szCs w:val="20"/>
          <w:color w:val="231F20"/>
        </w:rPr>
        <w:t>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and gain the benefit of a material portion of our NOLs and tax credits.</w:t>
      </w:r>
    </w:p>
    <w:p>
      <w:pPr>
        <w:spacing w:after="0" w:line="316"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Changes in United States and foreign tax laws could have a material adverse effect on our business, cash flow, results of operations, or financial conditions.</w:t>
      </w:r>
    </w:p>
    <w:p>
      <w:pPr>
        <w:spacing w:after="0" w:line="4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We are subject to tax laws, regulations, and policies of the United States federal, state, and local governments and of comparable taxing authorities in foreign jurisdictions. Changes in tax laws, and in the administration of such laws, could cause fluctuations in our effective tax rate, our cashflow, our operating results, or our reported financial condition. For example, beginning in 2022, the Tax Act eliminated the option to deduct research and development expenditures currently and requires taxpayers to capitalize and amortize those expenditures pursuant to Section 174 of the Code. The OBBBA revised these rules, permitting the deduction of certain United States research and development expenditures incurred in tax years beginning on or after January 1, 2025 on a current basis, but expenditures attributable to research and development conducted outside of the United States must continue to be capitalized and amortized over the 15-year period. We evaluated the impact of these provisions on our financial statements and concluded they do not have a material impact on our consolidated financial statements. If and when we become profitable, any new or changes to tax laws could adversely affect our effective tax rate, tax obligations, tax credits, including the orphan drug designation credit, or incentives.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1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Our quarterly operating results may fluctuate significantly or may fall below the expectations of investors or securities analysts, each of which may cause our stock price to fluctuate or decline.</w:t>
      </w:r>
    </w:p>
    <w:p>
      <w:pPr>
        <w:spacing w:after="0" w:line="48" w:lineRule="exact"/>
        <w:rPr>
          <w:sz w:val="20"/>
          <w:szCs w:val="20"/>
          <w:color w:val="auto"/>
        </w:rPr>
      </w:pPr>
    </w:p>
    <w:p>
      <w:pPr>
        <w:ind w:right="200" w:firstLine="490"/>
        <w:spacing w:after="0" w:line="268" w:lineRule="auto"/>
        <w:rPr>
          <w:sz w:val="20"/>
          <w:szCs w:val="20"/>
          <w:color w:val="auto"/>
        </w:rPr>
      </w:pPr>
      <w:r>
        <w:rPr>
          <w:rFonts w:ascii="Times New Roman" w:cs="Times New Roman" w:eastAsia="Times New Roman" w:hAnsi="Times New Roman"/>
          <w:sz w:val="20"/>
          <w:szCs w:val="20"/>
          <w:color w:val="231F20"/>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980" w:hanging="490"/>
        <w:spacing w:after="0"/>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and variations in the level of expense related to the current or future development of our programs;</w:t>
      </w:r>
    </w:p>
    <w:p>
      <w:pPr>
        <w:spacing w:after="0" w:line="124" w:lineRule="exact"/>
        <w:rPr>
          <w:rFonts w:ascii="Arial" w:cs="Arial" w:eastAsia="Arial" w:hAnsi="Arial"/>
          <w:sz w:val="20"/>
          <w:szCs w:val="20"/>
          <w:color w:val="231F20"/>
        </w:rPr>
      </w:pPr>
    </w:p>
    <w:p>
      <w:pPr>
        <w:ind w:left="980" w:hanging="490"/>
        <w:spacing w:after="0"/>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timing and status of enrollment for our clinical trials;</w:t>
      </w:r>
    </w:p>
    <w:p>
      <w:pPr>
        <w:spacing w:after="0" w:line="124" w:lineRule="exact"/>
        <w:rPr>
          <w:rFonts w:ascii="Arial" w:cs="Arial" w:eastAsia="Arial" w:hAnsi="Arial"/>
          <w:sz w:val="20"/>
          <w:szCs w:val="20"/>
          <w:color w:val="231F20"/>
        </w:rPr>
      </w:pPr>
    </w:p>
    <w:p>
      <w:pPr>
        <w:ind w:left="980" w:right="56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or fluctuations in our stock price and market capitalization, which could impact the value of our contingent obligations and cause fluctuations in our operating expenses as a result of these non-cash adjustments;</w:t>
      </w:r>
    </w:p>
    <w:p>
      <w:pPr>
        <w:spacing w:after="0" w:line="63" w:lineRule="exact"/>
        <w:rPr>
          <w:rFonts w:ascii="Arial" w:cs="Arial" w:eastAsia="Arial" w:hAnsi="Arial"/>
          <w:sz w:val="20"/>
          <w:szCs w:val="20"/>
          <w:color w:val="231F20"/>
        </w:rPr>
      </w:pPr>
    </w:p>
    <w:p>
      <w:pPr>
        <w:ind w:left="980" w:right="2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impact of geo-political, economic, and other factors beyond our control on us or third parties with which we collaborate or that we engage;</w:t>
      </w:r>
    </w:p>
    <w:p>
      <w:pPr>
        <w:spacing w:after="0" w:line="63" w:lineRule="exact"/>
        <w:rPr>
          <w:rFonts w:ascii="Arial" w:cs="Arial" w:eastAsia="Arial" w:hAnsi="Arial"/>
          <w:sz w:val="20"/>
          <w:szCs w:val="20"/>
          <w:color w:val="231F20"/>
        </w:rPr>
      </w:pPr>
    </w:p>
    <w:p>
      <w:pPr>
        <w:ind w:left="980" w:right="30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results of clinical trials, or the addition or termination of such clinical trials or funding support by us or potential future partners or other third parties;</w:t>
      </w:r>
    </w:p>
    <w:p>
      <w:pPr>
        <w:spacing w:after="0" w:line="63" w:lineRule="exact"/>
        <w:rPr>
          <w:rFonts w:ascii="Arial" w:cs="Arial" w:eastAsia="Arial" w:hAnsi="Arial"/>
          <w:sz w:val="20"/>
          <w:szCs w:val="20"/>
          <w:color w:val="231F20"/>
        </w:rPr>
      </w:pPr>
    </w:p>
    <w:p>
      <w:pPr>
        <w:ind w:left="980" w:right="200" w:hanging="490"/>
        <w:spacing w:after="0" w:line="249"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execution of any collaboration, licensing, or similar arrangements, or other agreements, including leases, sub-leases, or other agreements related to our facilities, and the timing of payments we may make or receive under, or the termination, modification, or breach of, any such arrangements;</w:t>
      </w:r>
    </w:p>
    <w:p>
      <w:pPr>
        <w:spacing w:after="0" w:line="80" w:lineRule="exact"/>
        <w:rPr>
          <w:rFonts w:ascii="Arial" w:cs="Arial" w:eastAsia="Arial" w:hAnsi="Arial"/>
          <w:sz w:val="20"/>
          <w:szCs w:val="20"/>
          <w:color w:val="231F20"/>
        </w:rPr>
      </w:pPr>
    </w:p>
    <w:p>
      <w:pPr>
        <w:ind w:left="980" w:right="58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any intellectual property infringement, misappropriation, or violation lawsuit or opposition, interference, post-grant proceeding, or cancellation proceeding in which we may become involved;</w:t>
      </w:r>
    </w:p>
    <w:p>
      <w:pPr>
        <w:spacing w:after="0" w:line="63" w:lineRule="exact"/>
        <w:rPr>
          <w:rFonts w:ascii="Arial" w:cs="Arial" w:eastAsia="Arial" w:hAnsi="Arial"/>
          <w:sz w:val="20"/>
          <w:szCs w:val="20"/>
          <w:color w:val="231F20"/>
        </w:rPr>
      </w:pPr>
    </w:p>
    <w:p>
      <w:pPr>
        <w:ind w:left="980" w:hanging="490"/>
        <w:spacing w:after="0"/>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additions and departures of key personnel;</w:t>
      </w:r>
    </w:p>
    <w:p>
      <w:pPr>
        <w:spacing w:after="0" w:line="124" w:lineRule="exact"/>
        <w:rPr>
          <w:rFonts w:ascii="Arial" w:cs="Arial" w:eastAsia="Arial" w:hAnsi="Arial"/>
          <w:sz w:val="20"/>
          <w:szCs w:val="20"/>
          <w:color w:val="231F20"/>
        </w:rPr>
      </w:pPr>
    </w:p>
    <w:p>
      <w:pPr>
        <w:ind w:left="980" w:right="84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strategic decisions by us or our competitors, such as acquisitions, divestitures, spin-offs, joint ventures, strategic investments, or changes in business strategy;</w:t>
      </w:r>
    </w:p>
    <w:p>
      <w:pPr>
        <w:spacing w:after="0" w:line="63" w:lineRule="exact"/>
        <w:rPr>
          <w:rFonts w:ascii="Arial" w:cs="Arial" w:eastAsia="Arial" w:hAnsi="Arial"/>
          <w:sz w:val="20"/>
          <w:szCs w:val="20"/>
          <w:color w:val="231F20"/>
        </w:rPr>
      </w:pPr>
    </w:p>
    <w:p>
      <w:pPr>
        <w:ind w:left="980" w:right="34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global supply chain issues and inflation on the costs of laboratory consumables, supplies, and equipment required for our ongoing operations;</w:t>
      </w:r>
    </w:p>
    <w:p>
      <w:pPr>
        <w:spacing w:after="0" w:line="63" w:lineRule="exact"/>
        <w:rPr>
          <w:rFonts w:ascii="Arial" w:cs="Arial" w:eastAsia="Arial" w:hAnsi="Arial"/>
          <w:sz w:val="20"/>
          <w:szCs w:val="20"/>
          <w:color w:val="231F20"/>
        </w:rPr>
      </w:pPr>
    </w:p>
    <w:p>
      <w:pPr>
        <w:ind w:left="980" w:right="120" w:hanging="490"/>
        <w:spacing w:after="0" w:line="267"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if any product candidate we may develop receives regulatory approval, the timing and terms of such approval and market acceptance and demand for such product candidate;</w:t>
      </w:r>
    </w:p>
    <w:p>
      <w:pPr>
        <w:spacing w:after="0" w:line="63" w:lineRule="exact"/>
        <w:rPr>
          <w:rFonts w:ascii="Arial" w:cs="Arial" w:eastAsia="Arial" w:hAnsi="Arial"/>
          <w:sz w:val="20"/>
          <w:szCs w:val="20"/>
          <w:color w:val="231F20"/>
        </w:rPr>
      </w:pPr>
    </w:p>
    <w:p>
      <w:pPr>
        <w:ind w:left="980" w:right="300" w:hanging="490"/>
        <w:spacing w:after="0" w:line="249" w:lineRule="auto"/>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establishing a sales, marketing, and distribution infrastructure to commercialize any products for which we may obtain marketing approval and intend to commercialize on our own or jointly with current or future collaborators;</w:t>
      </w:r>
    </w:p>
    <w:p>
      <w:pPr>
        <w:spacing w:after="0" w:line="80" w:lineRule="exact"/>
        <w:rPr>
          <w:rFonts w:ascii="Arial" w:cs="Arial" w:eastAsia="Arial" w:hAnsi="Arial"/>
          <w:sz w:val="20"/>
          <w:szCs w:val="20"/>
          <w:color w:val="231F20"/>
        </w:rPr>
      </w:pPr>
    </w:p>
    <w:p>
      <w:pPr>
        <w:ind w:left="980" w:hanging="490"/>
        <w:spacing w:after="0"/>
        <w:tabs>
          <w:tab w:leader="none" w:pos="98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developments affecting current or future product candidates or those of our competitors;</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10800"/>
          </w:cols>
          <w:pgMar w:left="540" w:top="743" w:right="540" w:bottom="0" w:gutter="0" w:footer="0" w:header="0"/>
          <w:type w:val="continuous"/>
        </w:sectPr>
      </w:pPr>
    </w:p>
    <w:bookmarkStart w:id="131" w:name="page132"/>
    <w:bookmarkEnd w:id="131"/>
    <w:p>
      <w:pPr>
        <w:ind w:left="980" w:right="80" w:hanging="490"/>
        <w:spacing w:after="0" w:line="267" w:lineRule="auto"/>
        <w:tabs>
          <w:tab w:leader="none" w:pos="98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expense or gain associated with the change in value of the success payments and contingent consideration; and</w:t>
      </w:r>
    </w:p>
    <w:p>
      <w:pPr>
        <w:spacing w:after="0" w:line="63" w:lineRule="exact"/>
        <w:rPr>
          <w:rFonts w:ascii="Arial" w:cs="Arial" w:eastAsia="Arial" w:hAnsi="Arial"/>
          <w:sz w:val="20"/>
          <w:szCs w:val="20"/>
          <w:color w:val="231F20"/>
        </w:rPr>
      </w:pPr>
    </w:p>
    <w:p>
      <w:pPr>
        <w:ind w:left="980" w:hanging="490"/>
        <w:spacing w:after="0"/>
        <w:tabs>
          <w:tab w:leader="none" w:pos="98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general market and economic conditions.</w:t>
      </w:r>
    </w:p>
    <w:p>
      <w:pPr>
        <w:spacing w:after="0" w:line="23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stock price may be volatile or may decline regardless of our operating performance, which may result in substantial losses for investors and may potentially subject us to securities class action litigation, which is expensive and could divert management’s attention.</w:t>
      </w:r>
    </w:p>
    <w:p>
      <w:pPr>
        <w:spacing w:after="0" w:line="6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market price of our common stock, as well as investor perceptions of our business and its value, may be highly volatile and may fluctuate substantially as a result of a variety of factors, some of which are related in complex ways, and many of which are beyond our control, including the factors listed below and other factors described in these Risk Factors:</w:t>
      </w:r>
    </w:p>
    <w:p>
      <w:pPr>
        <w:spacing w:after="0" w:line="83" w:lineRule="exact"/>
        <w:rPr>
          <w:sz w:val="20"/>
          <w:szCs w:val="20"/>
          <w:color w:val="auto"/>
        </w:rPr>
      </w:pPr>
    </w:p>
    <w:p>
      <w:pPr>
        <w:ind w:left="980" w:right="68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commencement of, enrollment in, or results of current and future preclinical studies and clinical trials we may conduct, or changes in the development status of our product candidates;</w:t>
      </w:r>
    </w:p>
    <w:p>
      <w:pPr>
        <w:spacing w:after="0" w:line="64"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delay in regulatory filings for our product candidates and any adverse development or perceived adverse development with respect to the applicable regulatory authority’s review of such filings, including the issuance by the FDA of a “refusal to file” letter or a request for additional information;</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results or delays in clinical trials;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perceptions regarding the significance of data from our clinical trials, particularly preliminary data;</w:t>
      </w:r>
    </w:p>
    <w:p>
      <w:pPr>
        <w:spacing w:after="0" w:line="133" w:lineRule="exact"/>
        <w:rPr>
          <w:rFonts w:ascii="Arial" w:cs="Arial" w:eastAsia="Arial" w:hAnsi="Arial"/>
          <w:sz w:val="20"/>
          <w:szCs w:val="20"/>
          <w:color w:val="231F20"/>
        </w:rPr>
      </w:pPr>
    </w:p>
    <w:p>
      <w:pPr>
        <w:ind w:left="980" w:right="4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our decision to initiate a preclinical study or clinical trial, not to initiate a preclinical study or clinical trial, or to terminate an existing preclinical study or clinical trial;</w:t>
      </w:r>
    </w:p>
    <w:p>
      <w:pPr>
        <w:spacing w:after="0" w:line="64"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actions taken by regulatory agencies with respect to our preclinical studies or clinical trials, manufacturing supply chain, or sales and marketing activities, including failure to receive regulatory approval of our product candidates or companion diagnostics to such product candidates;</w:t>
      </w:r>
    </w:p>
    <w:p>
      <w:pPr>
        <w:spacing w:after="0" w:line="81" w:lineRule="exact"/>
        <w:rPr>
          <w:rFonts w:ascii="Arial" w:cs="Arial" w:eastAsia="Arial" w:hAnsi="Arial"/>
          <w:sz w:val="20"/>
          <w:szCs w:val="20"/>
          <w:color w:val="231F20"/>
        </w:rPr>
      </w:pPr>
    </w:p>
    <w:p>
      <w:pPr>
        <w:ind w:left="980" w:right="82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laws or regulations, including preclinical study or clinical trial requirements for regulatory approvals worldwide;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changes to our relationship with manufacturers or suppliers;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manufacturing, supply, or distribution shortages;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our failure to successfully commercialize our product candidates;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structure of healthcare payment systems;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additions or departures of key scientific or management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unanticipated serious safety concerns related to the use of our product candidates;</w:t>
      </w:r>
    </w:p>
    <w:p>
      <w:pPr>
        <w:spacing w:after="0" w:line="133"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or other developments relating to proprietary rights, including patent rights, trade secrets, litigation matters, and our ability to obtain patent protection for our technologies or product candidates;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variations in our results of operations;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our cash position;</w:t>
      </w:r>
    </w:p>
    <w:p>
      <w:pPr>
        <w:spacing w:after="0" w:line="133" w:lineRule="exact"/>
        <w:rPr>
          <w:rFonts w:ascii="Arial" w:cs="Arial" w:eastAsia="Arial" w:hAnsi="Arial"/>
          <w:sz w:val="20"/>
          <w:szCs w:val="20"/>
          <w:color w:val="231F20"/>
        </w:rPr>
      </w:pPr>
    </w:p>
    <w:p>
      <w:pPr>
        <w:ind w:left="980" w:right="30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our failure to meet the estimates and projections of the investment community or that we may otherwise provide to the public;</w:t>
      </w:r>
    </w:p>
    <w:p>
      <w:pPr>
        <w:spacing w:after="0" w:line="64"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publication of research reports about us or our industry, or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products in particular, or positive or negative recommendations or withdrawal of research coverage by securities analysts;</w:t>
      </w:r>
    </w:p>
    <w:p>
      <w:pPr>
        <w:spacing w:after="0" w:line="64" w:lineRule="exact"/>
        <w:rPr>
          <w:rFonts w:ascii="Arial" w:cs="Arial" w:eastAsia="Arial" w:hAnsi="Arial"/>
          <w:sz w:val="20"/>
          <w:szCs w:val="20"/>
          <w:color w:val="231F20"/>
        </w:rPr>
      </w:pPr>
    </w:p>
    <w:p>
      <w:pPr>
        <w:ind w:left="980" w:right="260" w:hanging="490"/>
        <w:spacing w:after="0" w:line="258" w:lineRule="auto"/>
        <w:tabs>
          <w:tab w:leader="none" w:pos="98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made by us or our competitors about new product candidates and programs, success, setbacks, or other updates related to product candidates and programs that exist or are under development, strategic transactions and relationships, such as acquisitions collaborations, and joint ventures, or capital commitments;</w:t>
      </w:r>
    </w:p>
    <w:p>
      <w:pPr>
        <w:sectPr>
          <w:pgSz w:w="11880" w:h="15480" w:orient="portrait"/>
          <w:cols w:equalWidth="0" w:num="1">
            <w:col w:w="10760"/>
          </w:cols>
          <w:pgMar w:left="540" w:top="756" w:right="580" w:bottom="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10760"/>
          </w:cols>
          <w:pgMar w:left="540" w:top="756" w:right="580" w:bottom="0" w:gutter="0" w:footer="0" w:header="0"/>
          <w:type w:val="continuous"/>
        </w:sectPr>
      </w:pPr>
    </w:p>
    <w:bookmarkStart w:id="132" w:name="page133"/>
    <w:bookmarkEnd w:id="132"/>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establish or successfully maintain any collaborations or other strategic relationships, if needed;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effectively manage our future operations;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and growth of our initial target markets;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market valuations of similar companies;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academic or other publications regarding our or adjacent industries, including regarding cell and gene therapy products;</w:t>
      </w:r>
    </w:p>
    <w:p>
      <w:pPr>
        <w:spacing w:after="0" w:line="133"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press reports and other public disclosures by third parties, including through social media, whether or not true, about our business and the fields in which we operate;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or perceived potential sales of our common stock by us or our stockholders;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overall fluctuations in the equity markets;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ineffectiveness of our internal controls;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accounting practices or principles;</w:t>
      </w:r>
    </w:p>
    <w:p>
      <w:pPr>
        <w:spacing w:after="0" w:line="133" w:lineRule="exact"/>
        <w:rPr>
          <w:rFonts w:ascii="Arial" w:cs="Arial" w:eastAsia="Arial" w:hAnsi="Arial"/>
          <w:sz w:val="20"/>
          <w:szCs w:val="20"/>
          <w:color w:val="231F20"/>
        </w:rPr>
      </w:pPr>
    </w:p>
    <w:p>
      <w:pPr>
        <w:ind w:left="980" w:right="400" w:hanging="490"/>
        <w:spacing w:after="0" w:line="304" w:lineRule="auto"/>
        <w:tabs>
          <w:tab w:leader="none" w:pos="980" w:val="left"/>
        </w:tabs>
        <w:numPr>
          <w:ilvl w:val="0"/>
          <w:numId w:val="70"/>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or developments in the global legal and regulatory environment, including any new laws or regulations, or amendments to existing laws or regulations, that may impact the commercial environment for our product candidates;</w:t>
      </w:r>
    </w:p>
    <w:p>
      <w:pPr>
        <w:spacing w:after="0" w:line="39" w:lineRule="exact"/>
        <w:rPr>
          <w:rFonts w:ascii="Arial" w:cs="Arial" w:eastAsia="Arial" w:hAnsi="Arial"/>
          <w:sz w:val="19"/>
          <w:szCs w:val="19"/>
          <w:color w:val="231F20"/>
        </w:rPr>
      </w:pPr>
    </w:p>
    <w:p>
      <w:pPr>
        <w:ind w:left="980" w:right="1000" w:hanging="490"/>
        <w:spacing w:after="0" w:line="276" w:lineRule="auto"/>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litigation involving us, our industry, or both, or investigations by regulators into our operations or those of our competitors;</w:t>
      </w:r>
    </w:p>
    <w:p>
      <w:pPr>
        <w:spacing w:after="0" w:line="64" w:lineRule="exact"/>
        <w:rPr>
          <w:rFonts w:ascii="Arial" w:cs="Arial" w:eastAsia="Arial" w:hAnsi="Arial"/>
          <w:sz w:val="20"/>
          <w:szCs w:val="20"/>
          <w:color w:val="231F20"/>
        </w:rPr>
      </w:pPr>
    </w:p>
    <w:p>
      <w:pPr>
        <w:ind w:left="980" w:right="260" w:hanging="490"/>
        <w:spacing w:after="0" w:line="252" w:lineRule="auto"/>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political and economic conditions both within and outside the United States, including changes in interest rates, inflation, geo-political and economic instability (including from the conflicts between Russia and Ukraine and in the Middle East), tensions in ex-U.S. (including U.S.-China) relations, changes in government administration policy positions, and economic and tax policies announced by foreign countries; and</w:t>
      </w:r>
    </w:p>
    <w:p>
      <w:pPr>
        <w:spacing w:after="0" w:line="87" w:lineRule="exact"/>
        <w:rPr>
          <w:rFonts w:ascii="Arial" w:cs="Arial" w:eastAsia="Arial" w:hAnsi="Arial"/>
          <w:sz w:val="20"/>
          <w:szCs w:val="20"/>
          <w:color w:val="231F20"/>
        </w:rPr>
      </w:pPr>
    </w:p>
    <w:p>
      <w:pPr>
        <w:ind w:left="980" w:hanging="490"/>
        <w:spacing w:after="0"/>
        <w:tabs>
          <w:tab w:leader="none" w:pos="98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events or factors, many of which are beyond our control.</w:t>
      </w:r>
    </w:p>
    <w:p>
      <w:pPr>
        <w:spacing w:after="0" w:line="239"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your purchase price, you may not realize any return on, and may lose some or all of, your investment. In addition, because the biotechnology industry is complex and subject to heightened risks as compared to many other industries, investors may be reluctant to place value in and invest in our company and choose instead to prioritize investment in other companies and industries, including those that may be perceived as more stable or that prioritize initiatives that may not be relevant to our industry or practical for us to prioritize at this stage in our development.</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The market price of our common stock has fluctuated since our initial public offering (IPO) and may continue in the future to be volatile. Securities class action litigation has often been instituted against companies following periods of volatility in the market price of a company’s securities. For example, as described elsewhere in this Annual Report, the pending litigation captioned </w:t>
      </w:r>
      <w:r>
        <w:rPr>
          <w:rFonts w:ascii="Times New Roman" w:cs="Times New Roman" w:eastAsia="Times New Roman" w:hAnsi="Times New Roman"/>
          <w:sz w:val="20"/>
          <w:szCs w:val="20"/>
          <w:i w:val="1"/>
          <w:iCs w:val="1"/>
          <w:color w:val="231F20"/>
        </w:rPr>
        <w:t>In re Sana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Biotechnology, Inc., Securities Litigation</w:t>
      </w:r>
      <w:r>
        <w:rPr>
          <w:rFonts w:ascii="Times New Roman" w:cs="Times New Roman" w:eastAsia="Times New Roman" w:hAnsi="Times New Roman"/>
          <w:sz w:val="20"/>
          <w:szCs w:val="20"/>
          <w:color w:val="231F20"/>
        </w:rPr>
        <w:t>, No. 2:25-cv-00512-BJR, involves claims asserted against the defendants under Section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10(b) of the Exchange Act, including Rule 10b-5 promulgated thereunder, and Section 20(a) of the Exchange Act (the Securities Lawsuit). The defendants intend to vigorously defend themselves in the Securities Lawsuit, but there can be no assurances as to the outcome. This litigation, and any other future litigation that may be instituted, could result in substantial costs and a diversion of management’s attention and resources, which would harm our business, operating results, or financial condition.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and economic conditions may negatively impact our business, financial condition, and share price.</w:t>
      </w:r>
    </w:p>
    <w:p>
      <w:pPr>
        <w:spacing w:after="0" w:line="114"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231F20"/>
        </w:rPr>
        <w:t>Concerns about inflation, interest rates, energy costs, geo-political issues, the United States mortgage market and a declining real estate market, unstable global credit markets and financial conditions, and volatile oil prices have led to periods of significant economic instability, diminished liquidity and credit availability, declines in investment in industries perceived as complex or higher risk, such as biotechnology,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including as a result of a prolonged government shutdown, or the perception or possibility that such a shutdown may occur. Adverse developments with respect to specific financial institutions or the broader financial services industry that have occurred or may occur in the future may lead to market-wide liquidity shortages, impair our ability to access near-term working capital needs, and create additional market and economic uncertainty. There can be no assurance that future credit and financial market instability and a deterioration in confidence in economic</w:t>
      </w:r>
    </w:p>
    <w:p>
      <w:pPr>
        <w:sectPr>
          <w:pgSz w:w="11880" w:h="15480" w:orient="portrait"/>
          <w:cols w:equalWidth="0" w:num="1">
            <w:col w:w="10800"/>
          </w:cols>
          <w:pgMar w:left="540" w:top="764" w:right="540" w:bottom="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10800"/>
          </w:cols>
          <w:pgMar w:left="540" w:top="764" w:right="540" w:bottom="0" w:gutter="0" w:footer="0" w:header="0"/>
          <w:type w:val="continuous"/>
        </w:sectPr>
      </w:pPr>
    </w:p>
    <w:bookmarkStart w:id="133" w:name="page134"/>
    <w:bookmarkEnd w:id="133"/>
    <w:p>
      <w:pPr>
        <w:ind w:right="60"/>
        <w:spacing w:after="0" w:line="238" w:lineRule="auto"/>
        <w:rPr>
          <w:sz w:val="20"/>
          <w:szCs w:val="20"/>
          <w:color w:val="auto"/>
        </w:rPr>
      </w:pPr>
      <w:r>
        <w:rPr>
          <w:rFonts w:ascii="Times New Roman" w:cs="Times New Roman" w:eastAsia="Times New Roman" w:hAnsi="Times New Roman"/>
          <w:sz w:val="20"/>
          <w:szCs w:val="20"/>
          <w:color w:val="231F20"/>
        </w:rPr>
        <w:t>conditions will not occur, and we cannot predict the impact or follow-on effects of these insolvencies more broadly or on our business in particular. Further, there is no guarantee that the government will intervene to provide depositors with access to funds if similar events occur in the future. If other banks and financial institutions with which we have commercial relationships enter receivership or become insolvent in the future, our ability to access our existing cash, cash equivalents, and investments may be threatened, which could adversely affect our business and financial condition. If any of the events described occur, or if the market and economic conditions described above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stock price.</w:t>
      </w:r>
    </w:p>
    <w:p>
      <w:pPr>
        <w:spacing w:after="0" w:line="200"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We assess and prioritize our programs on an ongoing basis based on various factors, including internal and external opportunities and constraints, which may result in our decision to advance certain programs ahead or instead of others. Given the volatility in our stock price and the increased difficulty in accessing global credit markets and raising capital due to the market and economic conditions described above, we have adjusted our pipeline prioritization strategy and resource allocation in order to focus on the development of a limited number of programs that we believe have higher probabilities of success compared to other programs in our portfolio. In particular, we have or may in the future gate investment in our programs, with future investment dependent on our achievement of certain milestones. Even if our programs achieve the required milestones, development and potential commercialization of our product candidates may be delayed, which could materially harm our competitive position. Further, in order to manage resource constraints and extend our cash runway, we may be required to further adjust our pipeline prioritization strategy and resource allocation, including based on limited data. As a result, we may be required to delay or halt the development of potentially promising programs to focus our resources on a more limited number of programs that we believe have a higher probability of success. For example, as described elsewhere in this Annual Report, in November 2025, we conducted a portfolio prioritization to prioritize future development of our SC451 and SG293 programs and suspended development of our allogeneic cell therapy CAR T programs. Such decisions have, and in the future would, reduce the breadth and diversity of our portfolio and investments therein, potentially limit the long-term growth of our pipeline, and increase the risk and extent of the negative impact on our business if such programs are not successful.</w:t>
      </w:r>
    </w:p>
    <w:p>
      <w:pPr>
        <w:spacing w:after="0" w:line="207" w:lineRule="exact"/>
        <w:rPr>
          <w:sz w:val="20"/>
          <w:szCs w:val="20"/>
          <w:color w:val="auto"/>
        </w:rPr>
      </w:pPr>
    </w:p>
    <w:p>
      <w:pPr>
        <w:ind w:right="60" w:firstLine="490"/>
        <w:spacing w:after="0"/>
        <w:rPr>
          <w:sz w:val="20"/>
          <w:szCs w:val="20"/>
          <w:color w:val="auto"/>
        </w:rPr>
      </w:pPr>
      <w:r>
        <w:rPr>
          <w:rFonts w:ascii="Times New Roman" w:cs="Times New Roman" w:eastAsia="Times New Roman" w:hAnsi="Times New Roman"/>
          <w:sz w:val="20"/>
          <w:szCs w:val="20"/>
          <w:color w:val="231F20"/>
        </w:rPr>
        <w:t>Additionally, rising rates of inflation in recent years have increased the costs associated with conducting our business, including by causing substantial increases in the costs of materials, including raw materials and consumables, equipment, services, and labor. Given that we do not currently generate revenue from sales of any of our product candidates, we do not have an ability to offset these increases in our costs. Moreover, given the unpredictable nature of the current economic climate, including future changes in rates of inflation, it may be increasingly difficult for us to predict and control our future expenses, which may harm our ability to conduct our business.</w:t>
      </w:r>
    </w:p>
    <w:p>
      <w:pPr>
        <w:spacing w:after="0" w:line="32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or the third parties upon whom we depend may be adversely affected by natural disasters, including earthquakes, fires, typhoons, and floods,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spacing w:after="0" w:line="68" w:lineRule="exact"/>
        <w:rPr>
          <w:sz w:val="20"/>
          <w:szCs w:val="20"/>
          <w:color w:val="auto"/>
        </w:rPr>
      </w:pPr>
    </w:p>
    <w:p>
      <w:pPr>
        <w:ind w:right="240" w:firstLine="490"/>
        <w:spacing w:after="0" w:line="242" w:lineRule="auto"/>
        <w:rPr>
          <w:sz w:val="20"/>
          <w:szCs w:val="20"/>
          <w:color w:val="auto"/>
        </w:rPr>
      </w:pPr>
      <w:r>
        <w:rPr>
          <w:rFonts w:ascii="Times New Roman" w:cs="Times New Roman" w:eastAsia="Times New Roman" w:hAnsi="Times New Roman"/>
          <w:sz w:val="20"/>
          <w:szCs w:val="20"/>
          <w:color w:val="231F20"/>
        </w:rPr>
        <w:t>We or our partners, CROs, CDMOs, or other service providers may experience interruptions to our operations, including the conduct of our research and development programs, clinical trials, and manufacturing operations, due to natural disasters, including earthquakes, fires, typhoons, and floods, public health epidemics, hardware, software, telecommunication or electrical failures, geo-political actions, including war and terrorism, or political and economic instability, which could significantly disrupt or harm our business.</w:t>
      </w:r>
    </w:p>
    <w:p>
      <w:pPr>
        <w:spacing w:after="0" w:line="196"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Our corporate headquarters and other facilities are located in areas that have experienced significant natural disasters, including the San Francisco Bay Area and Seattle, Washington, each of which has experienced severe effects from wildfires and, in the case of the San Francisco Bay Area, severe earthquakes. We do not carry earthquake insurance. Earthquakes, wildfires, or other natural disasters could severely disrupt our operations, and could materially and adversely affect our business, financial condition, results of operations, and prospects. If a natural disaster, electrical failure, or other event occurs that prevents us from using all or a significant portion of our headquarters or other facilities, damages critical infrastructure, or otherwise disrupts operations, it may be difficult or, in certain cases, impossible, for us to continue our business for a substantial period of time. For example, a prolonged electrical failure could result in damage to or destruction of materials that are critical for our research and manufacturing operations, including our master cell banks, which would delay the advancement of our programs and materially harm our business, operating results, prospects, or financial condition. In addition, a failure of our computing systems could result in the loss of research or preclinical data important to our research or development programs, interrupt the conduct of ongoing research, or otherwise impair our ability to operate, which could delay the advancement of our programs or cause us to incur costs to recover or reproduce lost data. In addition, if in the future a natural disaster, power outage, or other event occurred that prevented us from using all or a significant portion of any manufacturing capabilities we may have, we may not be able to manufacture sufficient supply of our product candidates required to conduct our clinical trials or commercialize our products in accordance with our timelines or at all. The disaster recovery and business continuity plans we currently have in place are limited and are unlikely to prove adequate in the event of a serious disaster or similar event. We</w:t>
      </w:r>
    </w:p>
    <w:p>
      <w:pPr>
        <w:sectPr>
          <w:pgSz w:w="11880" w:h="15480" w:orient="portrait"/>
          <w:cols w:equalWidth="0" w:num="1">
            <w:col w:w="10800"/>
          </w:cols>
          <w:pgMar w:left="540" w:top="744" w:right="5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10800"/>
          </w:cols>
          <w:pgMar w:left="540" w:top="744" w:right="540" w:bottom="0" w:gutter="0" w:footer="0" w:header="0"/>
          <w:type w:val="continuous"/>
        </w:sectPr>
      </w:pPr>
    </w:p>
    <w:bookmarkStart w:id="134" w:name="page135"/>
    <w:bookmarkEnd w:id="134"/>
    <w:p>
      <w:pPr>
        <w:ind w:right="80"/>
        <w:spacing w:after="0" w:line="270" w:lineRule="auto"/>
        <w:rPr>
          <w:sz w:val="20"/>
          <w:szCs w:val="20"/>
          <w:color w:val="auto"/>
        </w:rPr>
      </w:pPr>
      <w:r>
        <w:rPr>
          <w:rFonts w:ascii="Times New Roman" w:cs="Times New Roman" w:eastAsia="Times New Roman" w:hAnsi="Times New Roman"/>
          <w:sz w:val="20"/>
          <w:szCs w:val="20"/>
          <w:color w:val="231F20"/>
        </w:rPr>
        <w:t>may incur substantial expenses as a result of the limited nature of our disaster recovery and business continuity plans, which, together with our lack of earthquake insurance in particular, could have a material adverse effect on our business.</w:t>
      </w:r>
    </w:p>
    <w:p>
      <w:pPr>
        <w:spacing w:after="0" w:line="169" w:lineRule="exact"/>
        <w:rPr>
          <w:sz w:val="20"/>
          <w:szCs w:val="20"/>
          <w:color w:val="auto"/>
        </w:rPr>
      </w:pPr>
    </w:p>
    <w:p>
      <w:pPr>
        <w:ind w:right="120" w:firstLine="490"/>
        <w:spacing w:after="0"/>
        <w:rPr>
          <w:sz w:val="20"/>
          <w:szCs w:val="20"/>
          <w:color w:val="auto"/>
        </w:rPr>
      </w:pPr>
      <w:r>
        <w:rPr>
          <w:rFonts w:ascii="Times New Roman" w:cs="Times New Roman" w:eastAsia="Times New Roman" w:hAnsi="Times New Roman"/>
          <w:sz w:val="20"/>
          <w:szCs w:val="20"/>
          <w:color w:val="231F20"/>
        </w:rPr>
        <w:t>Integral parties in our supply chain are similarly vulnerable to natural disasters or other sudden, unforeseen, and severe adverse events. In addition, our supply chain is vulnerable to changes in the geo-political and economic climate, including changes in relationships between the United States and countries from which we may need to source materials and other resources necessary for the preclinical evaluation of our product candidates, including animal models, and specifically non-human primate models, or to manufacture our product candidates, including raw and intermediate materials and consumables. If any such event or change were to affect our supply chain, it could have a material adverse effect on our business.</w:t>
      </w:r>
    </w:p>
    <w:p>
      <w:pPr>
        <w:spacing w:after="0" w:line="199" w:lineRule="exact"/>
        <w:rPr>
          <w:sz w:val="20"/>
          <w:szCs w:val="20"/>
          <w:color w:val="auto"/>
        </w:rPr>
      </w:pPr>
    </w:p>
    <w:p>
      <w:pPr>
        <w:ind w:right="100" w:firstLine="490"/>
        <w:spacing w:after="0"/>
        <w:rPr>
          <w:sz w:val="20"/>
          <w:szCs w:val="20"/>
          <w:color w:val="auto"/>
        </w:rPr>
      </w:pPr>
      <w:r>
        <w:rPr>
          <w:rFonts w:ascii="Times New Roman" w:cs="Times New Roman" w:eastAsia="Times New Roman" w:hAnsi="Times New Roman"/>
          <w:sz w:val="20"/>
          <w:szCs w:val="20"/>
          <w:color w:val="231F20"/>
        </w:rPr>
        <w:t>Potential disruptions from a pandemic, epidemic, or infectious disease outbreak have in the past, and may in the future, include delays or disruptions in our research, preclinical, clinical, manufacturing, and regulatory activities, including due to limitations on employee or other resources both internally and at third parties, including government agencies, or delays in procuring, or inability to procure, necessary supplies, materials, and equipment. The extent to which a pandemic, epidemic, or other outbreak may impact our preclinical studies, clinical trials, business, financial condition, and results of operations will depend on future developments, which continue to be highly uncertain and unpredictable.</w:t>
      </w:r>
    </w:p>
    <w:p>
      <w:pPr>
        <w:spacing w:after="0" w:line="19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Furthermore, geo-political actions, such as the conflicts in Ukraine and the Middle East, trade restrictions, and the resulting political and economic instability, could negatively impact our operations. Although it is difficult to anticipate the impact of any of the foregoing on our company in particular, such geo-political actions, and any actions taken in response thereto, could increase our costs, disrupt our supply chain, impact our timelines, impair our ability to raise or access additional capital when needed on acceptable terms, if at all, or otherwise adversely affect our business, financial condition, and results of operations.</w:t>
      </w:r>
    </w:p>
    <w:p>
      <w:pPr>
        <w:spacing w:after="0" w:line="3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either do not publish research about us or publish inaccurate or unfavorable research about us, our business, our market, or our competitors, or if they adversely change their recommendations regarding our common stock, the trading price or trading volume of our common stock could decline.</w:t>
      </w:r>
    </w:p>
    <w:p>
      <w:pPr>
        <w:spacing w:after="0" w:line="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trading market for our common stock is influenced in part by the research and reports that securities or industry analysts may publish about us, our business, our market, or our competitors. We do not have any control over the analysts or the content and opinions included in their research and reports. If one or more of these analysts issue an unfavorable rating or downgrade our common stock, provide a more favorable recommendation about our competitors, or publish inaccurate or unfavorable research about our business, our common stock price would likely decline. If any analyst who may cover us were to cease such coverage or fail to regularly publish reports on us, we could lose visibility in the financial markets and demand for our common stock could decrease, which could cause the trading price or trading volume of our common stock to decline.</w:t>
      </w:r>
    </w:p>
    <w:p>
      <w:pPr>
        <w:spacing w:after="0" w:line="3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an emerging growth company and a smaller reporting company, and any decision on our part to comply only with certain reduced reporting and disclosure requirements applicable to such companies could make our common stock less attractive to investors.</w:t>
      </w:r>
    </w:p>
    <w:p>
      <w:pPr>
        <w:spacing w:after="0" w:line="68"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83" w:lineRule="exact"/>
        <w:rPr>
          <w:sz w:val="20"/>
          <w:szCs w:val="20"/>
          <w:color w:val="auto"/>
        </w:rPr>
      </w:pPr>
    </w:p>
    <w:p>
      <w:pPr>
        <w:ind w:left="980" w:right="440" w:hanging="490"/>
        <w:spacing w:after="0" w:line="276" w:lineRule="auto"/>
        <w:tabs>
          <w:tab w:leader="none" w:pos="980" w:val="left"/>
        </w:tabs>
        <w:numPr>
          <w:ilvl w:val="0"/>
          <w:numId w:val="71"/>
        </w:numPr>
        <w:rPr>
          <w:rFonts w:ascii="Arial" w:cs="Arial" w:eastAsia="Arial" w:hAnsi="Arial"/>
          <w:sz w:val="20"/>
          <w:szCs w:val="20"/>
          <w:color w:val="231F20"/>
        </w:rPr>
      </w:pPr>
      <w:r>
        <w:rPr>
          <w:rFonts w:ascii="Times New Roman" w:cs="Times New Roman" w:eastAsia="Times New Roman" w:hAnsi="Times New Roman"/>
          <w:sz w:val="20"/>
          <w:szCs w:val="20"/>
          <w:color w:val="231F20"/>
        </w:rPr>
        <w:t>not being required to have our independent registered public accounting firm audit our internal control over financial reporting under Section 404 of the Sarbanes-Oxley Act of 2002 (the Sarbanes-Oxley Act);</w:t>
      </w:r>
    </w:p>
    <w:p>
      <w:pPr>
        <w:spacing w:after="0" w:line="64"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71"/>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reduced disclosure obligations regarding executive compensation in our periodic reports and annual reports on Form 10-K; and</w:t>
      </w:r>
    </w:p>
    <w:p>
      <w:pPr>
        <w:spacing w:after="0" w:line="64"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71"/>
        </w:numPr>
        <w:rPr>
          <w:rFonts w:ascii="Arial" w:cs="Arial" w:eastAsia="Arial" w:hAnsi="Arial"/>
          <w:sz w:val="20"/>
          <w:szCs w:val="20"/>
          <w:color w:val="231F20"/>
        </w:rPr>
      </w:pPr>
      <w:r>
        <w:rPr>
          <w:rFonts w:ascii="Times New Roman" w:cs="Times New Roman" w:eastAsia="Times New Roman" w:hAnsi="Times New Roman"/>
          <w:sz w:val="20"/>
          <w:szCs w:val="20"/>
          <w:color w:val="231F20"/>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status as an emerging growth company will end as soon as any of the following takes place:</w:t>
      </w:r>
    </w:p>
    <w:p>
      <w:pPr>
        <w:spacing w:after="0" w:line="134" w:lineRule="exact"/>
        <w:rPr>
          <w:sz w:val="20"/>
          <w:szCs w:val="20"/>
          <w:color w:val="auto"/>
        </w:rPr>
      </w:pPr>
    </w:p>
    <w:p>
      <w:pPr>
        <w:ind w:left="980" w:hanging="490"/>
        <w:spacing w:after="0"/>
        <w:tabs>
          <w:tab w:leader="none" w:pos="980" w:val="left"/>
        </w:tabs>
        <w:numPr>
          <w:ilvl w:val="0"/>
          <w:numId w:val="72"/>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last day of the fiscal year in which we have more than $1.235 billion in annual revenue;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2"/>
        </w:numPr>
        <w:rPr>
          <w:rFonts w:ascii="Arial" w:cs="Arial" w:eastAsia="Arial" w:hAnsi="Arial"/>
          <w:sz w:val="20"/>
          <w:szCs w:val="20"/>
          <w:color w:val="231F20"/>
        </w:rPr>
      </w:pPr>
      <w:r>
        <w:rPr>
          <w:rFonts w:ascii="Times New Roman" w:cs="Times New Roman" w:eastAsia="Times New Roman" w:hAnsi="Times New Roman"/>
          <w:sz w:val="20"/>
          <w:szCs w:val="20"/>
          <w:color w:val="231F20"/>
        </w:rPr>
        <w:t>the date we qualify as a “large accelerated filer,” with at least $700 million of equity securities held by non-affiliates;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2"/>
        </w:numPr>
        <w:rPr>
          <w:rFonts w:ascii="Arial" w:cs="Arial" w:eastAsia="Arial" w:hAnsi="Arial"/>
          <w:sz w:val="20"/>
          <w:szCs w:val="20"/>
          <w:color w:val="231F20"/>
        </w:rPr>
      </w:pPr>
      <w:r>
        <w:rPr>
          <w:rFonts w:ascii="Times New Roman" w:cs="Times New Roman" w:eastAsia="Times New Roman" w:hAnsi="Times New Roman"/>
          <w:sz w:val="20"/>
          <w:szCs w:val="20"/>
          <w:color w:val="231F20"/>
        </w:rPr>
        <w:t>the date on which we have issued, in any three-year period, more than $1.0 billion in non-convertible debt securities; or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2"/>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last day of the fiscal year ending after the fifth anniversary of the completion of our IPO, which is December 31, 2026.</w:t>
      </w:r>
    </w:p>
    <w:p>
      <w:pPr>
        <w:sectPr>
          <w:pgSz w:w="11880" w:h="15480" w:orient="portrait"/>
          <w:cols w:equalWidth="0" w:num="1">
            <w:col w:w="10780"/>
          </w:cols>
          <w:pgMar w:left="540" w:top="74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10780"/>
          </w:cols>
          <w:pgMar w:left="540" w:top="744" w:right="560" w:bottom="0" w:gutter="0" w:footer="0" w:header="0"/>
          <w:type w:val="continuous"/>
        </w:sectPr>
      </w:pPr>
    </w:p>
    <w:bookmarkStart w:id="135" w:name="page136"/>
    <w:bookmarkEnd w:id="135"/>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We are also a “smaller reporting company” as defined in the Exchange Act. Even after we no longer qualify as an emerging growth company, we may still qualify as a smaller reporting company, which would allow us to take advantage of many of the same exemptions from reporting requirements, including reduced disclosure obligations regarding executive compensation in our periodic reports and annual reports on Form 10-K. Investors may find our common stock less attractive as a result of our decision to rely on any of the exemptions afforded to emerging growth companies or smaller reporting companies, which may result in a less active trading market for our common stock and the market price of our common stock may be more volatile.</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addition, 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opted out of the extended transition period); however, we may adopt certain new or revised accounting standards early. As a result, these financial statements may not be comparable to companies that comply with the new or revised accounting pronouncements as of public company effective dates.</w:t>
      </w:r>
    </w:p>
    <w:p>
      <w:pPr>
        <w:spacing w:after="0" w:line="320"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requirements of being a public company may strain our resources, result in an increased risk of litigation, and divert management’s attention.</w:t>
      </w:r>
    </w:p>
    <w:p>
      <w:pPr>
        <w:spacing w:after="0" w:line="42"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and will in the future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the requirements of the Sarbanes-Oxley Act,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99"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In addition, changing laws, regulations, and standards relating to corporate governance and public disclosure create uncertainty for public companies, increase legal and financial compliance costs, and make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potential revenue-generating activities to compliance activities. If our efforts to comply with new laws, regulations, and standards fail to meet the requirements of the applicable regulatory or governing bodies, including due to ambiguities related to their application in practice, regulatory authorities may initiate legal proceedings against us, and our business may be adversely affected.</w:t>
      </w:r>
    </w:p>
    <w:p>
      <w:pPr>
        <w:spacing w:after="0" w:line="196"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New laws, rules, and standards and our efforts necessary to comply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and talent committee, and qualified officers. Additionally, an increase in the cost of such insurance may cause us to opt for lower overall policy limits or to forgo insurance that we may otherwise rely on to cover defense costs, settlements, and damages awarded to plaintiffs in connection with any securities litigation.</w:t>
      </w:r>
    </w:p>
    <w:p>
      <w:pPr>
        <w:spacing w:after="0" w:line="196"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color w:val="231F20"/>
        </w:rPr>
        <w:t>By disclosing information in the periodic filings required of a public company, our business and financial condition are more visible, which we believe may result in threatened or actual litigation, including by competitors and other third parties. For example, as described elsewhere in this Annual Report, the Securities Lawsuit involves asserted class action claims against the defendants pursuant to Section 10(b) of the Exchange Act, including Rule 10b-5 promulgated thereunder, as well as claims against the individual defendants pursuant to Section 20(a) of the Exchange Act. If these or any other claims are successful, our business could be seriously harmed. Even when such claims do not result in litigation or are resolved in our favor, the time and resources needed to resolve them could divert our management’s resources and seriously harm our business.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10800"/>
          </w:cols>
          <w:pgMar w:left="540" w:top="750" w:right="540" w:bottom="0" w:gutter="0" w:footer="0" w:header="0"/>
          <w:type w:val="continuous"/>
        </w:sectPr>
      </w:pPr>
    </w:p>
    <w:bookmarkStart w:id="136" w:name="page137"/>
    <w:bookmarkEnd w:id="136"/>
    <w:p>
      <w:pPr>
        <w:ind w:right="34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If we fail to maintain proper and effective internal controls over financial reporting, our ability to produce accurate and timely financial statements could be impaired.</w:t>
      </w:r>
    </w:p>
    <w:p>
      <w:pPr>
        <w:spacing w:after="0" w:line="48"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231F20"/>
        </w:rPr>
        <w:t>Pursuant to Section 404 of the Sarbanes-Oxley Act, our management is required to report upon the effectiveness of our internal control over financial reporting.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and may need to continue to implement additional financial and management controls, reporting systems, and procedures, and may need to hire additional accounting and finance staff.</w:t>
      </w:r>
    </w:p>
    <w:p>
      <w:pPr>
        <w:spacing w:after="0" w:line="196" w:lineRule="exact"/>
        <w:rPr>
          <w:sz w:val="20"/>
          <w:szCs w:val="20"/>
          <w:color w:val="auto"/>
        </w:rPr>
      </w:pPr>
    </w:p>
    <w:p>
      <w:pPr>
        <w:ind w:right="40" w:firstLine="490"/>
        <w:spacing w:after="0" w:line="235" w:lineRule="auto"/>
        <w:rPr>
          <w:sz w:val="20"/>
          <w:szCs w:val="20"/>
          <w:color w:val="auto"/>
        </w:rPr>
      </w:pPr>
      <w:r>
        <w:rPr>
          <w:rFonts w:ascii="Times New Roman" w:cs="Times New Roman" w:eastAsia="Times New Roman" w:hAnsi="Times New Roman"/>
          <w:sz w:val="20"/>
          <w:szCs w:val="20"/>
          <w:color w:val="231F20"/>
        </w:rPr>
        <w:t>We cannot guarantee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111"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with a related party, which could cause us to fail to make a required related party transaction disclosure. Additionally, controls can, depending on the circumstances, be circumvented by the acts of a single individual, by collusion of two or more people, or by an unauthorized override of the controls. Accordingly, because of the inherent limitations in our control system, misstatements due to error or fraud may occur and not be detected.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 Management and Strategy</w:t>
      </w:r>
    </w:p>
    <w:p>
      <w:pPr>
        <w:spacing w:after="0" w:line="118"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231F20"/>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77"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231F20"/>
        </w:rPr>
        <w:t>We conduct periodic risk assessments to identify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personnel, including our Vice President, Information Technology, who reports to our Executive Vice President, Chief Technology Officer, and Head of Operations, to manage the risk assessment and mitigation process.</w:t>
      </w:r>
    </w:p>
    <w:p>
      <w:pPr>
        <w:spacing w:after="0" w:line="197" w:lineRule="exact"/>
        <w:rPr>
          <w:sz w:val="20"/>
          <w:szCs w:val="20"/>
          <w:color w:val="auto"/>
        </w:rPr>
      </w:pPr>
    </w:p>
    <w:p>
      <w:pPr>
        <w:ind w:right="340" w:firstLine="490"/>
        <w:spacing w:after="0" w:line="305" w:lineRule="auto"/>
        <w:rPr>
          <w:sz w:val="20"/>
          <w:szCs w:val="20"/>
          <w:color w:val="auto"/>
        </w:rPr>
      </w:pPr>
      <w:r>
        <w:rPr>
          <w:rFonts w:ascii="Times New Roman" w:cs="Times New Roman" w:eastAsia="Times New Roman" w:hAnsi="Times New Roman"/>
          <w:sz w:val="19"/>
          <w:szCs w:val="19"/>
          <w:color w:val="231F20"/>
        </w:rPr>
        <w:t>As part of our overall risk management system, we monitor and test our safeguards and train relevant personnel on these safeguards. These efforts are led by our Information Security function. All personnel are expected to engage in security awareness</w:t>
      </w:r>
    </w:p>
    <w:p>
      <w:pPr>
        <w:sectPr>
          <w:pgSz w:w="11880" w:h="15480" w:orient="portrait"/>
          <w:cols w:equalWidth="0" w:num="1">
            <w:col w:w="10760"/>
          </w:cols>
          <w:pgMar w:left="540" w:top="743" w:right="580" w:bottom="0" w:gutter="0" w:footer="0" w:header="0"/>
        </w:sect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10760"/>
          </w:cols>
          <w:pgMar w:left="540" w:top="743" w:right="580" w:bottom="0" w:gutter="0" w:footer="0" w:header="0"/>
          <w:type w:val="continuous"/>
        </w:sectPr>
      </w:pPr>
    </w:p>
    <w:bookmarkStart w:id="137" w:name="page138"/>
    <w:bookmarkEnd w:id="137"/>
    <w:p>
      <w:pPr>
        <w:ind w:right="1020"/>
        <w:spacing w:after="0" w:line="277" w:lineRule="auto"/>
        <w:rPr>
          <w:sz w:val="20"/>
          <w:szCs w:val="20"/>
          <w:color w:val="auto"/>
        </w:rPr>
      </w:pPr>
      <w:r>
        <w:rPr>
          <w:rFonts w:ascii="Times New Roman" w:cs="Times New Roman" w:eastAsia="Times New Roman" w:hAnsi="Times New Roman"/>
          <w:sz w:val="20"/>
          <w:szCs w:val="20"/>
          <w:color w:val="231F20"/>
        </w:rPr>
        <w:t>training. We engage third parties to perform security assessments to test our safeguards and, when appropriate, implement modifications to or add new safeguards based on the results of such assessments.</w:t>
      </w:r>
    </w:p>
    <w:p>
      <w:pPr>
        <w:spacing w:after="0" w:line="16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generally require each of our relevant third-party service providers to implement and maintain appropriate security measures and to promptly notify us of any suspected breach of security that may affect our company.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Governance</w:t>
      </w:r>
    </w:p>
    <w:p>
      <w:pPr>
        <w:spacing w:after="0" w:line="118" w:lineRule="exact"/>
        <w:rPr>
          <w:sz w:val="20"/>
          <w:szCs w:val="20"/>
          <w:color w:val="auto"/>
        </w:rPr>
      </w:pPr>
    </w:p>
    <w:p>
      <w:pPr>
        <w:ind w:right="240" w:firstLine="490"/>
        <w:spacing w:after="0" w:line="270" w:lineRule="auto"/>
        <w:rPr>
          <w:sz w:val="20"/>
          <w:szCs w:val="20"/>
          <w:color w:val="auto"/>
        </w:rPr>
      </w:pPr>
      <w:r>
        <w:rPr>
          <w:rFonts w:ascii="Times New Roman" w:cs="Times New Roman" w:eastAsia="Times New Roman" w:hAnsi="Times New Roman"/>
          <w:sz w:val="19"/>
          <w:szCs w:val="19"/>
          <w:color w:val="231F20"/>
        </w:rPr>
        <w:t>One of the key functions of our board of directors is informed oversight of our risk management process, including risks from cybersecurity threats. Our board of directors is responsible for monitoring and assessing strategic risk exposure, and our executive officers and other members of senior management are responsible for the day-to-day management of the material risks we face. Our board of directors administers its cybersecurity risk oversight function directly as well as through our audit committee.</w:t>
      </w:r>
    </w:p>
    <w:p>
      <w:pPr>
        <w:spacing w:after="0" w:line="1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Vice President, Information Technology is responsible for assessing and managing our material risks from cybersecurity threats. He has worked in various roles pertaining to Information Technology for more than fifteen years. The processes by which he is informed about and monitors the prevention, detection, mitigation, and remediation of cybersecurity incidents include the following: vulnerability management, third party risk management, data security management, security awareness training, systems management, operations security, security incident and event management, and incident response management. We use third parties for managed detection and active response to cybersecurity incidents.</w:t>
      </w:r>
    </w:p>
    <w:p>
      <w:pPr>
        <w:spacing w:after="0" w:line="200"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Our Vice President, Information Technology provides quarterly briefings to our audit committee regarding our cybersecurity risks and activities, such as any recent cybersecurity incidents and related responses (including those of third parties), if any, and cybersecurity systems testing. Our audit committee provides periodic updates to the board of directors that include any material information included in such briefings.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3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Washington</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Our corporate headquarters are located in Seattle, Washington, where we sublease 22,188 square feet of office and laboratory space pursuant to a sublease agreement that commenced in September 2020 and expires in April 2028. We lease an additional 25,898 square feet of office and laboratory space in the same building pursuant to a lease agreement that commenced in March 2019 and expires in December 2026, and includes an option to extend for an additional five-year term. In December 2025, we entered into a sublease with respect to this office and laboratory space, the term of which expires in December 2026. In June 2022, we entered into a lease agreement for 79,565 square feet of office, laboratory, and manufacturing space located in Bothell, Washington (the Bothell facility). The lease agreement has an initial term of 16 years expiring in January 2039 and includes an option to extend for up to three additional five-year terms.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California</w:t>
      </w:r>
    </w:p>
    <w:p>
      <w:pPr>
        <w:spacing w:after="0" w:line="11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occupy 66,075 square feet of office, laboratory, and manufacturing space in South San Francisco, California pursuant to a lease agreement that commenced in December 2019 and expires in April 2030, and includes the option to extend for an additional five-year term. We sublease an additional 32,909 square feet of office and laboratory space in the same building pursuant to a sublease agreement that commenced in April 2022 and expires in April 2030.</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Massachusetts</w:t>
      </w:r>
    </w:p>
    <w:p>
      <w:pPr>
        <w:spacing w:after="0" w:line="118"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231F20"/>
        </w:rPr>
        <w:t>We lease 24,386 square feet of office and laboratory space in Cambridge, Massachusetts pursuant to a lease agreement that commenced in March 2019 and expires in June 2027 and sublease an additional 31,563 square feet of similar space in an adjacent building pursuant to a sublease agreement that commenced in January 2020 and expires in February 2028.</w:t>
      </w:r>
    </w:p>
    <w:p>
      <w:pPr>
        <w:spacing w:after="0" w:line="18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We believe that our existing facilities are sufficient for our near-term needs, but we may need additional space if we grow. We believe that suitable additional or alternative spaces will be available in the future on commercially reasonable terms, if required.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1880" w:h="15480" w:orient="portrait"/>
          <w:cols w:equalWidth="0" w:num="1">
            <w:col w:w="10800"/>
          </w:cols>
          <w:pgMar w:left="540" w:top="750" w:right="54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From time to time, we may in the ordinary course of business face various claims brought by third parties, including claims relating to employment matters and the safety and efficacy of our products, and we may, from time to time, make claims or take legal action to assert our rights, including action relating to our intellectual property rights. Any of these claims could subject us to costly litigation. Although we generally believe that we have adequate insurance to cover many different types of liabilities from third party claims,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or financial position. Additionally, any such claims, whether or not successful, could damage our reputation and business.</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On March 21, 2025, a purported stockholder filed a putative class action complaint in the United States District Court for the Western District of Washington against the company and its current and former executives, Steven D. Harr, M.D., and Nathan Hardy, now captioned </w:t>
      </w:r>
      <w:r>
        <w:rPr>
          <w:rFonts w:ascii="Times New Roman" w:cs="Times New Roman" w:eastAsia="Times New Roman" w:hAnsi="Times New Roman"/>
          <w:sz w:val="20"/>
          <w:szCs w:val="20"/>
          <w:i w:val="1"/>
          <w:iCs w:val="1"/>
          <w:color w:val="231F20"/>
        </w:rPr>
        <w:t>In re Sana Biotechnology, Inc., Securities Litigation</w:t>
      </w:r>
      <w:r>
        <w:rPr>
          <w:rFonts w:ascii="Times New Roman" w:cs="Times New Roman" w:eastAsia="Times New Roman" w:hAnsi="Times New Roman"/>
          <w:sz w:val="20"/>
          <w:szCs w:val="20"/>
          <w:color w:val="231F20"/>
        </w:rPr>
        <w:t>, No. 2:25-cv-00512-BJR, alleging that the defendants made false and misleading statements concerning the company's business, operations, and prospects (the Action). On June 2, 2025, the court appointed Shane Honey and Jonatan Koskinen as co -lead plaintiffs (Lead Plaintiffs) and their respective choices of lead counsel as co-lead counsel in the Action. On August 15, 2025, the Lead Plaintiffs filed an amended complaint to serve as the operative complaint in the Action (the Complaint), which asserts claims against all defendants pursuant to Section 10(b) of the Exchange Act and Rule 10b-5 promulgated thereunder, as well as claims against the individual defendants pursuant to Section 20(a) of the Exchange Act. The Complaint alleges, among other things, that the defendants made false and misleading public statements and omissions regarding the development of SC291, which was our HIP-modified CD19-directed allogeneic CAR T cell product candidate, for the treatment of B-cell cancers, as well as our finances, operations, and business prospects. The Complaint purports to assert class action claims on behalf of all persons and entities that purchased or otherwise acquired our securities between January 9, 2024 and November 4, 2024 and seeks unspecified damages. On October 14, 2025, the defendants filed a motion to dismiss the Complaint (Motion to Dismiss). On December 15, 2025, the Lead Plaintiffs filed their opposition to the Motion to Dismiss, and on January 29, 2026, the defendants filed their reply in support of the Motion to Dismiss. In addition, on December 29, 2025, the Lead Plaintiffs filed a motion for leave to amend the Complaint (Motion to Amend). On January 20, 2026, the defendants filed their opposition to the Motion to Amend, and on February 3, 2026, the Lead Plaintiffs filed their reply in support of the Motion to Amend. Briefing on each of the Motion to Dismiss and Motion to Amend has concluded and such motions remain pending. The defendants intend to vigorously defend themselves in the Action. However, there can be no assurances as to the outcome.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133</w:t>
      </w:r>
    </w:p>
    <w:p>
      <w:pPr>
        <w:sectPr>
          <w:pgSz w:w="11880" w:h="15480" w:orient="portrait"/>
          <w:cols w:equalWidth="0" w:num="1">
            <w:col w:w="10800"/>
          </w:cols>
          <w:pgMar w:left="540" w:top="746" w:right="540" w:bottom="0" w:gutter="0" w:footer="0" w:header="0"/>
          <w:type w:val="continuous"/>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common stock trades on the Nasdaq Global Select Market under the symbol “SANA.”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As of February 24, 2026, there were approximately 40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We have not declared or paid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Performance Graph</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following stock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7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graph set forth below compares the cumulative total stockholder return on our shares of common stock between February 4, 2021 (the first day that our common stock began trading on the Nasdaq Global Select Market) and December 31, 2025, with the cumulative total return of (a) the Nasdaq Composite Index and (b) the Nasdaq Biotechnology Index, over the same period. This graph assumes the investment of $100 on February 4, 2021 in our common stock, the Nasdaq Composite Index, and the Nasdaq Biotechnology Index, and assumes the reinvestment of dividends, if any. The graph uses the closing sales price of our common stock of $35.10 per share on February 4, 2021 as the initial value of our common stock.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65405</wp:posOffset>
            </wp:positionV>
            <wp:extent cx="6677025" cy="2457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677025"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*$100 invested on February 4, 2021 in stock or index, including reinvestment of dividends.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231F20"/>
        </w:rPr>
        <w:t>Fiscal year ending December 31</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134</w:t>
      </w:r>
    </w:p>
    <w:p>
      <w:pPr>
        <w:sectPr>
          <w:pgSz w:w="11880" w:h="15480" w:orient="portrait"/>
          <w:cols w:equalWidth="0" w:num="1">
            <w:col w:w="10780"/>
          </w:cols>
          <w:pgMar w:left="540" w:top="746" w:right="5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231F20"/>
        </w:rPr>
        <w:t>Securities Authorized for Issuance Under Equity Compensation Plans</w:t>
      </w:r>
    </w:p>
    <w:p>
      <w:pPr>
        <w:spacing w:after="0" w:line="124"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231F20"/>
        </w:rPr>
        <w:t>Information about our equity compensation plans is incorporated herein by reference to Item 12 of Part III of this Annual Report.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did not sell any unregistered securities in the year ended December 31,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and analysis of our financial condition and results of operations together with our audited consolidated financial statements and the related notes included elsewhere in this Annual Report. This discussion and analysis and other parts of this Annual Report contain forward-looking statements that are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numerous factors, including those set forth in the section of this Annual Report titled “Risk Factors.” See also the section of this Annual Report titled “Special Note Regarding Forward-Looking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40" w:firstLine="480"/>
        <w:spacing w:after="0" w:line="247" w:lineRule="auto"/>
        <w:rPr>
          <w:sz w:val="20"/>
          <w:szCs w:val="20"/>
          <w:color w:val="auto"/>
        </w:rPr>
      </w:pPr>
      <w:r>
        <w:rPr>
          <w:rFonts w:ascii="Times New Roman" w:cs="Times New Roman" w:eastAsia="Times New Roman" w:hAnsi="Times New Roman"/>
          <w:sz w:val="20"/>
          <w:szCs w:val="20"/>
          <w:color w:val="231F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 drugs to clinical practice, enabling us to repair cells in the body when possible and replace them when needed. We have developed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to revolutionize treatment across a broad array of therapeutic areas with unmet treatment needs, including type 1 diabetes, oncology, and B cell mediated autoimmune diseases.</w:t>
      </w:r>
    </w:p>
    <w:p>
      <w:pPr>
        <w:spacing w:after="0" w:line="19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20"/>
          <w:szCs w:val="20"/>
          <w:color w:val="231F20"/>
        </w:rPr>
        <w:t xml:space="preserve">For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platform, we have made focused investments in our hypoimmune platform technology, which we refer to as our HIP technology, with the twin goals of engineering allogeneic cells that can "hide" from the patient's immune system to overcome the fundamental challenge of immune rejection and cell persistence and that we can manufacture at scale. A successful therapeutic requires cells that can engraft, function, and persist in the body, and we believe our approach can unlock a wave of disruptive therapeutics, starting in type 1 diabetes. For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therapies that aim to repair or control genes in the body, a successful product candidate requires both gene modification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delivery of the therapeutic payload. Our initial focus is on cell-specific delivery of genetic payloads, known as chimeric antigen receptors (CARs), to a patient’s T cells, resulting in the generation and proliferation of CAR T cells, which have been shown to deplete a patient’s disease-causing B cells.</w:t>
      </w:r>
    </w:p>
    <w:p>
      <w:pPr>
        <w:spacing w:after="0" w:line="192"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20"/>
          <w:szCs w:val="20"/>
          <w:color w:val="231F20"/>
        </w:rPr>
        <w:t xml:space="preserve">We are currently focused on advancing two distinct therapeutics, each of which leverages one of these platform technologies. SC451 is our HIP-edited product candidate for the treatment of type 1 diabetes. SG293 is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product candidate for the treatment of B cell malignancies and B cell mediated autoimmune diseases. We retain worldwide rights to each of these product candidates.</w:t>
      </w:r>
    </w:p>
    <w:p>
      <w:pPr>
        <w:spacing w:after="0" w:line="84" w:lineRule="exact"/>
        <w:rPr>
          <w:sz w:val="20"/>
          <w:szCs w:val="20"/>
          <w:color w:val="auto"/>
        </w:rPr>
      </w:pPr>
    </w:p>
    <w:p>
      <w:pPr>
        <w:ind w:left="980" w:hanging="490"/>
        <w:spacing w:after="0" w:line="245" w:lineRule="auto"/>
        <w:tabs>
          <w:tab w:leader="none" w:pos="980" w:val="left"/>
        </w:tabs>
        <w:numPr>
          <w:ilvl w:val="0"/>
          <w:numId w:val="7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Type 1 Diabetes</w:t>
      </w:r>
      <w:r>
        <w:rPr>
          <w:rFonts w:ascii="Times New Roman" w:cs="Times New Roman" w:eastAsia="Times New Roman" w:hAnsi="Times New Roman"/>
          <w:sz w:val="20"/>
          <w:szCs w:val="20"/>
          <w:color w:val="231F20"/>
        </w:rPr>
        <w:t>: Almost ten million people suffer from type 1 diabetes (T1D) worldwide, and there has been limited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progress in treatments for this disease since the advent of insulin injections over 100 years ago. We are developing SC451, a HIP-modified, stem cell-derived pancreatic islet cell therapy, for the treatment of T1D. The goal of this therapy is euglycemia, or normal blood glucose, without the need for exogenous insulin injections or immunosuppression. Through a first-in-human investigator-sponsored study (IST), we have shown that UP421, an allogeneic, primary islet cell therapy engineered with our HIP technology, can survive and function for twelve months post-transplant in a patient with T1D without the need for immunosuppression. We have incorporated this HIP technology into a more scalable manufacturing platform with SC451 and expect to file an investigational new drug application (IND) as well as begin a Phase 1 clinical trial for this therapy as early as this year.</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135</w:t>
      </w:r>
    </w:p>
    <w:p>
      <w:pPr>
        <w:sectPr>
          <w:pgSz w:w="11880" w:h="15480" w:orient="portrait"/>
          <w:cols w:equalWidth="0" w:num="1">
            <w:col w:w="10800"/>
          </w:cols>
          <w:pgMar w:left="540" w:top="746" w:right="540" w:bottom="0" w:gutter="0" w:footer="0" w:header="0"/>
          <w:type w:val="continuous"/>
        </w:sectPr>
      </w:pPr>
    </w:p>
    <w:bookmarkStart w:id="141" w:name="page142"/>
    <w:bookmarkEnd w:id="141"/>
    <w:p>
      <w:pPr>
        <w:ind w:left="980" w:hanging="490"/>
        <w:spacing w:after="0" w:line="245" w:lineRule="auto"/>
        <w:tabs>
          <w:tab w:leader="none" w:pos="980" w:val="left"/>
        </w:tabs>
        <w:numPr>
          <w:ilvl w:val="0"/>
          <w:numId w:val="74"/>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In vivo </w:t>
      </w:r>
      <w:r>
        <w:rPr>
          <w:rFonts w:ascii="Times New Roman" w:cs="Times New Roman" w:eastAsia="Times New Roman" w:hAnsi="Times New Roman"/>
          <w:sz w:val="20"/>
          <w:szCs w:val="20"/>
          <w:b w:val="1"/>
          <w:bCs w:val="1"/>
          <w:color w:val="231F20"/>
        </w:rPr>
        <w:t>CAR T cells</w:t>
      </w:r>
      <w:r>
        <w:rPr>
          <w:rFonts w:ascii="Times New Roman" w:cs="Times New Roman" w:eastAsia="Times New Roman" w:hAnsi="Times New Roman"/>
          <w:sz w:val="20"/>
          <w:szCs w:val="20"/>
          <w:color w:val="231F20"/>
        </w:rPr>
        <w:t>: Using our fusogen platform, which enables cell-specific,</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delivery of various payloads,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are developing SG293, a CD8-targeted fusosome. SG293 delivers genetic material to CD8+ T cells, which enables them to become CD19-targeting CAR T cells while avoiding potentially problematic delivery to tissues such as the liver and gonads.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cells have the potential to provide the clinical benefit of autologous,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manufactured CAR T cells while avoiding the need for lymphodepleting chemotherapy as well as significant complexity and bottlenecks related to manufacturing. SG293 builds on data from our prior lead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 T product candidate, SG299. We plan to develop SG293 in a range of B cell cancers and B cell mediated autoimmune diseases and expect to generate initial clinical data as early as this year.</w:t>
      </w:r>
    </w:p>
    <w:p>
      <w:pPr>
        <w:spacing w:after="0" w:line="205"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In November 2025, in order to prioritize our resources and pursue promising data in the SC451 and fusogen programs, we announced our prioritization of further development of our SC451 and SG293 programs, and suspended development of our two allogeneic cell therapy CAR T programs – SC291 in B cell mediated autoimmune diseases and SC262 in oncology. As part of these efforts, we are winding down the GLEAM Phase 1 clinical trial evaluating SC291 in B cell mediated autoimmune diseases and the VIVID Phase 1 clinical trial evaluating SC262 in oncology.</w:t>
      </w:r>
    </w:p>
    <w:p>
      <w:pPr>
        <w:spacing w:after="0" w:line="197" w:lineRule="exact"/>
        <w:rPr>
          <w:sz w:val="20"/>
          <w:szCs w:val="20"/>
          <w:color w:val="auto"/>
        </w:rPr>
      </w:pPr>
    </w:p>
    <w:p>
      <w:pPr>
        <w:ind w:right="60" w:firstLine="490"/>
        <w:spacing w:after="0" w:line="263" w:lineRule="auto"/>
        <w:rPr>
          <w:sz w:val="20"/>
          <w:szCs w:val="20"/>
          <w:color w:val="auto"/>
        </w:rPr>
      </w:pPr>
      <w:r>
        <w:rPr>
          <w:rFonts w:ascii="Times New Roman" w:cs="Times New Roman" w:eastAsia="Times New Roman" w:hAnsi="Times New Roman"/>
          <w:sz w:val="19"/>
          <w:szCs w:val="19"/>
          <w:color w:val="231F20"/>
        </w:rPr>
        <w:t xml:space="preserve">We believe the time is right to develop engineered cell therapies in various therapeutic areas. Substantial progress in the understanding of genetics, gene editing, protein engineering, stem cell biology, immunology, process analytics, and computational biology have converged to create an opportunity to markedly increase the breadth and depth of the potential impact of cellular medicines. We continue to make progress developing our </w:t>
      </w:r>
      <w:r>
        <w:rPr>
          <w:rFonts w:ascii="Times New Roman" w:cs="Times New Roman" w:eastAsia="Times New Roman" w:hAnsi="Times New Roman"/>
          <w:sz w:val="19"/>
          <w:szCs w:val="19"/>
          <w:i w:val="1"/>
          <w:iCs w:val="1"/>
          <w:color w:val="231F20"/>
        </w:rPr>
        <w:t>ex vivo</w:t>
      </w:r>
      <w:r>
        <w:rPr>
          <w:rFonts w:ascii="Times New Roman" w:cs="Times New Roman" w:eastAsia="Times New Roman" w:hAnsi="Times New Roman"/>
          <w:sz w:val="19"/>
          <w:szCs w:val="19"/>
          <w:color w:val="231F20"/>
        </w:rPr>
        <w:t xml:space="preserve"> cell engineering platform that leverages our HIP technology and our </w:t>
      </w:r>
      <w:r>
        <w:rPr>
          <w:rFonts w:ascii="Times New Roman" w:cs="Times New Roman" w:eastAsia="Times New Roman" w:hAnsi="Times New Roman"/>
          <w:sz w:val="19"/>
          <w:szCs w:val="19"/>
          <w:i w:val="1"/>
          <w:iCs w:val="1"/>
          <w:color w:val="231F20"/>
        </w:rPr>
        <w:t xml:space="preserve">in vivo </w:t>
      </w:r>
      <w:r>
        <w:rPr>
          <w:rFonts w:ascii="Times New Roman" w:cs="Times New Roman" w:eastAsia="Times New Roman" w:hAnsi="Times New Roman"/>
          <w:sz w:val="19"/>
          <w:szCs w:val="19"/>
          <w:color w:val="231F20"/>
        </w:rPr>
        <w:t>cell engineering platform. Each of our programs provides the potential for meaningful standalone value while also supporting</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our potential ability to further exploit our platforms in a manner that leads to the development of broadly applicable medicines.</w:t>
      </w:r>
    </w:p>
    <w:p>
      <w:pPr>
        <w:spacing w:after="0" w:line="1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With respect to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cell engineering efforts, in January 2026, we announced positive 12-month results from the UP421 IST demonstrating that all primary and secondary endpoints were met. The study showed no drug product-related adverse events. Additionally, there was evidence of graft survival and function with positron emission tomography and magnetic resonance imaging (PET/MRI) as well as with detectable C-peptide production through 12 months following transplantation. C-peptide levels increased, as expected, during a mixed meal tolerance test, showing appropriate function of the transplanted islet cells. Immunological analysis revealed comprehensive immune evasion of HIP-modified pancreatic islet cells. In August 2025, </w:t>
      </w:r>
      <w:r>
        <w:rPr>
          <w:rFonts w:ascii="Times New Roman" w:cs="Times New Roman" w:eastAsia="Times New Roman" w:hAnsi="Times New Roman"/>
          <w:sz w:val="20"/>
          <w:szCs w:val="20"/>
          <w:i w:val="1"/>
          <w:iCs w:val="1"/>
          <w:color w:val="231F20"/>
        </w:rPr>
        <w:t>The New England Journal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Medicine </w:t>
      </w:r>
      <w:r>
        <w:rPr>
          <w:rFonts w:ascii="Times New Roman" w:cs="Times New Roman" w:eastAsia="Times New Roman" w:hAnsi="Times New Roman"/>
          <w:sz w:val="20"/>
          <w:szCs w:val="20"/>
          <w:color w:val="231F20"/>
        </w:rPr>
        <w:t>published a journal article titled "Survival of Transplanted Allogeneic Beta Cells with No Immunosuppression," which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discusses the 12-week results of the trial. We continue preclinical development of SC451, and the results of recent regulatory interactions, including FDA INTERACT and Pre-IND meetings, increase our confidence in our manufacturing process, manufacturing controls, nonclinical testing plan, and clinical trial plan.</w:t>
      </w:r>
    </w:p>
    <w:p>
      <w:pPr>
        <w:spacing w:after="0" w:line="19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With respect to our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research efforts, in January 2026, we shared data from a preclinical study using a surrogate for SG293 that delivers a CD20 CAR capable of targeting non-human primate (NHP) B cells in </w:t>
      </w:r>
      <w:r>
        <w:rPr>
          <w:rFonts w:ascii="Times New Roman" w:cs="Times New Roman" w:eastAsia="Times New Roman" w:hAnsi="Times New Roman"/>
          <w:sz w:val="20"/>
          <w:szCs w:val="20"/>
          <w:i w:val="1"/>
          <w:iCs w:val="1"/>
          <w:color w:val="231F20"/>
        </w:rPr>
        <w:t>cynomolgus</w:t>
      </w:r>
      <w:r>
        <w:rPr>
          <w:rFonts w:ascii="Times New Roman" w:cs="Times New Roman" w:eastAsia="Times New Roman" w:hAnsi="Times New Roman"/>
          <w:sz w:val="20"/>
          <w:szCs w:val="20"/>
          <w:color w:val="231F20"/>
        </w:rPr>
        <w:t xml:space="preserve"> macaques in the absence of lymphodepletion. A single intravenous injection of the SG293 surrogate to these NHPs resulted in robust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generation of CAR T cells and deep B-cell depletion in the peripheral blood and lymph nodes. The B cell depletion was further confirmed by lymph node biopsies showing clearance of B cells as well as by “reset” of the NHPs’ B cell repertoire toward naïve B cells. We believe that deep B cell depletion in this preclinical model is the most significant biomarker for potential efficacy in patients with B cell cancers and B cell mediated autoimmune diseases. Separately,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studies using SG293 have shown selective gene delivery to CD8+ T cells with minimal or undetectable off-target transduction in tissues such as the liver and gonadal tissue, supporting the specificity of SG293.</w:t>
      </w:r>
    </w:p>
    <w:p>
      <w:pPr>
        <w:spacing w:after="0" w:line="19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We continue to make progress on advancing our product candidates into and through preclinical development and toward potential IND submissions. As our product candidates advance toward potential IND submissions, we are conducting good laboratory practices toxicology studies and establishing necessary scale-up for our manufacturing processes.</w:t>
      </w:r>
    </w:p>
    <w:p>
      <w:pPr>
        <w:spacing w:after="0" w:line="17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expect to continue to assess and prioritize our programs on an ongoing basis based on various factors, including internal and external opportunities and constraints, which may result in our decision to advance certain programs ahead or instead of others or suspend, discontinue, or divest certain programs that represent our current development focus. For details regarding our product candidates, see the section titled “Business—Overview” in Part I, Item 1 included elsewhere in this Annual Report.</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technologies represent an aggregation of years of innovation and technology from multiple academic institutions and companies, including hypoimmune technology licensed from the President and Fellows of Harvard College (Harvard) and The Regents of the University of California, fusogen technology acquired from Cobalt Biomedicine Inc. (Cobalt), and gene editing technology licensed from Beam Therapeutics Inc. (Beam), among others. For details regarding these acquisitions and license and collaboration agreements, see Note 4, Acquisitions and Note 5, License and collaboration agreements, to our consolidated financial statements included in this Annual Report, as well as the section titled “Business—Key Intellectual Property Agreements” in Part I, Item 1 included elsewhere in this Annual Report.</w:t>
      </w:r>
    </w:p>
    <w:p>
      <w:pPr>
        <w:sectPr>
          <w:pgSz w:w="11880" w:h="15480" w:orient="portrait"/>
          <w:cols w:equalWidth="0" w:num="1">
            <w:col w:w="10780"/>
          </w:cols>
          <w:pgMar w:left="540" w:top="760" w:right="560" w:bottom="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136</w:t>
      </w:r>
    </w:p>
    <w:p>
      <w:pPr>
        <w:sectPr>
          <w:pgSz w:w="11880" w:h="15480" w:orient="portrait"/>
          <w:cols w:equalWidth="0" w:num="1">
            <w:col w:w="10780"/>
          </w:cols>
          <w:pgMar w:left="540" w:top="760" w:right="560" w:bottom="0" w:gutter="0" w:footer="0" w:header="0"/>
          <w:type w:val="continuous"/>
        </w:sectPr>
      </w:pPr>
    </w:p>
    <w:bookmarkStart w:id="142" w:name="page143"/>
    <w:bookmarkEnd w:id="142"/>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Our operations to date have included developing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identifying and developing potential product candidates, executing preclinical studies, establishing manufacturing capabilities, conducting clinical trials of our product candidates, supporting clinical trials of product candidates developed using our technologies, acquiring technologies, staffing the company, business planning, establishing and maintaining our intellectual property portfolio, raising capital, and providing general and administrative support for these operations. All of our programs are currently in the development stage, and we do not have any products approved for sale. We have incurred net losses each year since our inception. Our net losses for the years ended December 31, 2025, 2024, and 2023 were $244.2 million, $266.8 million, and $283.3 million, respectively. As of December 31, 2025, we had an accumulated deficit of $1.8 billion. Our net losses resulted primarily from our research and development programs, and, to a lesser extent, general and administrative costs associated with our operations.</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March 2026, we entered into an amended and restated sales agreement (the Sales Agreement) with TD Securities (USA) LLC (TD Cowen), acting as sales agent, pursuant to which we may offer and sell through TD Cowen shares of our common stock from time to time in a series of one or more at the market equity offerings. We initially intend to offer and sell up to $150.0 million of shares of our common stock under the Sales Agreement pursuant to a prospectus supplement to be filed with the SEC (collectively, the ATM facility). The Sales Agreement amends and restates our prior sales agreement with TD Cowen entered into in May 2025 (the Prior Sales Agreement). During the quarter and year ended December 31, 2025, we sold an aggregate of 3.9 million shares and 11.3 million shares of our common stock, respectively, under the Prior Sales Agreement, for net proceeds of approximately $17.0 million and $45.8 million, respectively, after deducting commissions and expenses.</w:t>
      </w:r>
    </w:p>
    <w:p>
      <w:pPr>
        <w:spacing w:after="0" w:line="202"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In August 2025, we completed an underwritten public offering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spacing w:after="0" w:line="186" w:lineRule="exact"/>
        <w:rPr>
          <w:sz w:val="20"/>
          <w:szCs w:val="20"/>
          <w:color w:val="auto"/>
        </w:rPr>
      </w:pPr>
    </w:p>
    <w:p>
      <w:pPr>
        <w:ind w:right="200" w:firstLine="490"/>
        <w:spacing w:after="0" w:line="235" w:lineRule="auto"/>
        <w:rPr>
          <w:sz w:val="20"/>
          <w:szCs w:val="20"/>
          <w:color w:val="auto"/>
        </w:rPr>
      </w:pPr>
      <w:r>
        <w:rPr>
          <w:rFonts w:ascii="Times New Roman" w:cs="Times New Roman" w:eastAsia="Times New Roman" w:hAnsi="Times New Roman"/>
          <w:sz w:val="20"/>
          <w:szCs w:val="20"/>
          <w:color w:val="231F20"/>
        </w:rPr>
        <w:t>As of December 31, 2025, we had cash, cash equivalents, and marketable securities of $138.4 million. We will need to raise additional financing within the next 12 months and in the future to fund our operations, including conducting clinical trials and the commercialization of any approved product candidates. Until such time, if ever, as we can generate substantial product revenue, we expect to finance our operations with our existing cash, cash equivalents, and marketable securities, proceeds from any future equity or debt financings, and milestone, royalty, and other payments received under any future licenses, collaborations, or other arrangements. Additional capital may not be available on terms that are reasonable or acceptable to us, if at all. If we are unable to raise capital when needed or on attractive terms, our business, results of operations, and financial condition would be adversely affected.</w:t>
      </w:r>
    </w:p>
    <w:p>
      <w:pPr>
        <w:spacing w:after="0" w:line="20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Management has determined that our present capital resources may not be sufficient to fund o</w:t>
      </w:r>
      <w:r>
        <w:rPr>
          <w:rFonts w:ascii="Times New Roman" w:cs="Times New Roman" w:eastAsia="Times New Roman" w:hAnsi="Times New Roman"/>
          <w:sz w:val="19"/>
          <w:szCs w:val="19"/>
          <w:color w:val="231F20"/>
        </w:rPr>
        <w:t>ur planned operations for at least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one year from the date of this Annual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significantly modify our operational plans by delaying, reducing the scope of, or ceasing some or all of our research and development programs, or pursue strategic alternatives.</w:t>
      </w:r>
    </w:p>
    <w:p>
      <w:pPr>
        <w:spacing w:after="0" w:line="200" w:lineRule="exact"/>
        <w:rPr>
          <w:sz w:val="20"/>
          <w:szCs w:val="20"/>
          <w:color w:val="auto"/>
        </w:rPr>
      </w:pPr>
    </w:p>
    <w:p>
      <w:pPr>
        <w:spacing w:after="0" w:line="222"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231F20"/>
        </w:rPr>
        <w:t xml:space="preserve">Although our historical portfolio prioritizations have enabled reduced operating expenses, our operating expenses may increase over the longer term if our future clinical trials are successful and if we expand our research and development efforts. Cost increases would be driven in large part by commencing and advancing our current and future product candidates through clinical trials; identifying additional product candidates; continuing to establish our manufacturing capabilities, including through third-party contract development and manufacturing organizations (CDMOs); initiating and advancing preclinical development of our current and future product candidates; advancing and expanding the capabilities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acquiring and licensing technologies aligned with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or modifying the terms of existing acquisition or license arrangements; seeking regulatory approval of our current and future product candidates; engaging in commercialization activities for any of our product candidates for which we obtain marketing approval; increasing our personnel, including those required to support our research, clinical and preclinical development, manufacturing, and potential future commercialization efforts; expanding our operational, financial, and management systems; continuing to develop, prosecute, and defend our intellectual property portfolio; and continuing to incur legal, accounting, or other expenses to operate our business, including the costs associated with being a public company.</w:t>
      </w:r>
    </w:p>
    <w:p>
      <w:pPr>
        <w:spacing w:after="0" w:line="195" w:lineRule="exact"/>
        <w:rPr>
          <w:sz w:val="20"/>
          <w:szCs w:val="20"/>
          <w:color w:val="auto"/>
        </w:rPr>
      </w:pPr>
    </w:p>
    <w:p>
      <w:pPr>
        <w:ind w:right="260" w:firstLine="490"/>
        <w:spacing w:after="0" w:line="243" w:lineRule="auto"/>
        <w:rPr>
          <w:sz w:val="20"/>
          <w:szCs w:val="20"/>
          <w:color w:val="auto"/>
        </w:rPr>
      </w:pPr>
      <w:r>
        <w:rPr>
          <w:rFonts w:ascii="Times New Roman" w:cs="Times New Roman" w:eastAsia="Times New Roman" w:hAnsi="Times New Roman"/>
          <w:sz w:val="20"/>
          <w:szCs w:val="20"/>
          <w:color w:val="231F20"/>
        </w:rPr>
        <w:t>We have invested in building world class capabilities in key areas of manufacturing sciences and operations, including development of our cell engineering platforms, product characterization, and process analytics. Our investments also include scaled research solutions, scaled infrastructure, and novel technologies to improve efficiency, characterization, and scalability of manufacturing.</w:t>
      </w:r>
    </w:p>
    <w:p>
      <w:pPr>
        <w:sectPr>
          <w:pgSz w:w="11880" w:h="15480" w:orient="portrait"/>
          <w:cols w:equalWidth="0" w:num="1">
            <w:col w:w="10800"/>
          </w:cols>
          <w:pgMar w:left="540" w:top="750" w:right="54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137</w:t>
      </w:r>
    </w:p>
    <w:p>
      <w:pPr>
        <w:sectPr>
          <w:pgSz w:w="11880" w:h="15480" w:orient="portrait"/>
          <w:cols w:equalWidth="0" w:num="1">
            <w:col w:w="10800"/>
          </w:cols>
          <w:pgMar w:left="540" w:top="750" w:right="54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i w:val="1"/>
          <w:iCs w:val="1"/>
          <w:color w:val="231F20"/>
        </w:rPr>
        <w:t>Macroeconomic and Other Considerations</w:t>
      </w:r>
    </w:p>
    <w:p>
      <w:pPr>
        <w:spacing w:after="0" w:line="111"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Our business and operations may be negatively affected by local and global economic, political, and regulatory developments and conditions, such as changes in trade policies (including sanctions, treaties, tariffs, regulatory requirements, and other limitations on cross- border operations and international trade), changes in inflation and fluctuations in interest rates, instability in the banking and financial services sector, declines in consumer confidence, declines in economic growth, uncertainty in the markets, geo-political and economic instability, changes in regulatory agencies having oversight of our operations, and tensions in ex-U.S. relations. Further, it is possible that government policy changes and related uncertainty could increase market volatility. The extent, severity, and duration of the impact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of this Annual Report titled “Risk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118"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We have completed various acquisitions since inception. For details regarding acquisitions involving technologies that we are currently developing, see the section titled “Business—Key Intellectual Property Agreements” and Note 4, Acquisitions, to our consolidated financial statements included elsewhere in this Annual Report.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License and collaboration agreements</w:t>
      </w:r>
    </w:p>
    <w:p>
      <w:pPr>
        <w:spacing w:after="0" w:line="118"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231F20"/>
        </w:rPr>
        <w:t>We have entered into license and collaboration agreements with various third parties. For details regarding these agreements, see the section titled “Business— Key Intellectual Property Agreements” and Note 5, License and collaboration agreements, to our consolidated financial statements included elsewhere in this Annual Report.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Success payments and contingent consideration</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Cobalt success payment and contingent consideration</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Pursuant to the terms and conditions of the Cobalt acquisition agreement, we are obligated to pay to certain former Cobalt stockholders contingent consideration (Cobalt Contingent Consideration) of up to an aggregate of $500.0 million upon our achievement of certain specified development milestones and a success payment (Cobalt Success Payment) of up to $500.0 million, each of which is payable in cash or stock. The Cobalt Success Payment is payable if, at pre-determined valuation measurement dates, our market capitalization equals or exceeds $ 8.1 billion, and we are advancing a program based on the fusogen technology in a clinical trial pursuant to an IND, or have filed for, or received approval for, a biologics license application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also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such change of control, the amount of the potential Cobalt Success Payment will decrease, and the amount of potential Cobalt Contingent Consideration will increase. As of December 31, 2025, a Cobalt Success Payment had not been triggered.</w:t>
      </w:r>
    </w:p>
    <w:p>
      <w:pPr>
        <w:spacing w:after="0" w:line="206"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See Note 4, Acquisitions to our consolidated financial statements included elsewhere in this Annual Report for details on the amount of the potential Cobalt Success Payment and potential Cobalt Contingent Consideration if there is a change of control based on various thresholds for our market capitalization on such change of control date. See the subsections below titled “—Success payments” and “—Contingent consideration” for more information on the accounting treatment of the Cobalt Success Payment and Cobalt Contingent Consideration.</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Harvard success payments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Pursuant to the terms of the Harvard agreement,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December 31, 2025, a Harvard Success Payment had not been triggered.</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138</w:t>
      </w:r>
    </w:p>
    <w:p>
      <w:pPr>
        <w:sectPr>
          <w:pgSz w:w="11880" w:h="15480" w:orient="portrait"/>
          <w:cols w:equalWidth="0" w:num="1">
            <w:col w:w="10800"/>
          </w:cols>
          <w:pgMar w:left="540" w:top="743" w:right="540" w:bottom="0" w:gutter="0" w:footer="0" w:header="0"/>
          <w:type w:val="continuous"/>
        </w:sectPr>
      </w:pPr>
    </w:p>
    <w:bookmarkStart w:id="144" w:name="page145"/>
    <w:bookmarkEnd w:id="144"/>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231F20"/>
        </w:rPr>
        <w:t>See Note 5, License and collaboration agreements to our consolidated financial statements included elsewhere in this Annual Report for more details on the various per share common stock values that trigger a Harvard Success Payment. See the subsection below titled “—Success payments” for more information on the accounting treatment of the Harvard Success Payments.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18" w:lineRule="exact"/>
        <w:rPr>
          <w:sz w:val="20"/>
          <w:szCs w:val="20"/>
          <w:color w:val="auto"/>
        </w:rPr>
      </w:pPr>
    </w:p>
    <w:p>
      <w:pPr>
        <w:ind w:right="120" w:firstLine="490"/>
        <w:spacing w:after="0" w:line="278" w:lineRule="auto"/>
        <w:rPr>
          <w:sz w:val="20"/>
          <w:szCs w:val="20"/>
          <w:color w:val="auto"/>
        </w:rPr>
      </w:pPr>
      <w:r>
        <w:rPr>
          <w:rFonts w:ascii="Times New Roman" w:cs="Times New Roman" w:eastAsia="Times New Roman" w:hAnsi="Times New Roman"/>
          <w:sz w:val="19"/>
          <w:szCs w:val="19"/>
          <w:color w:val="231F20"/>
        </w:rPr>
        <w:t>To date, research and development expenses have related primarily to discovery and development of our platform technologies and product candidates. Research and development expenses are recognized as incurred, and payments made prior to the receipt of goods or services to be used in research and development are recorded as prepaid expenses until the goods or services are received.</w:t>
      </w:r>
    </w:p>
    <w:p>
      <w:pPr>
        <w:spacing w:after="0" w:line="171"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Research and development expenses consist of personnel-related costs, including salaries, benefits, and non-cash stock-based compensation, external research and development expenses incurred under arrangements with third parties, including CDMO manufacturing costs (including pass-through costs) and clinical trial costs, costs for laboratory supplies, costs to acquire and license technologies aligned with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and facility expenses, including rent and depreciation, and allocated overhead costs. The timing and amount of costs to acquire and license technologies in the future cannot be reliably estimated and may fluctuate from quarter to quarter and year to year.</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We deploy our employee and infrastructure resources across multiple research and development programs for developing our </w:t>
      </w:r>
      <w:r>
        <w:rPr>
          <w:rFonts w:ascii="Times New Roman" w:cs="Times New Roman" w:eastAsia="Times New Roman" w:hAnsi="Times New Roman"/>
          <w:sz w:val="20"/>
          <w:szCs w:val="20"/>
          <w:i w:val="1"/>
          <w:iCs w:val="1"/>
          <w:color w:val="231F20"/>
        </w:rPr>
        <w:t>ex</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vivo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i w:val="1"/>
          <w:iCs w:val="1"/>
          <w:color w:val="231F20"/>
        </w:rPr>
        <w:t xml:space="preserve"> in vivo </w:t>
      </w:r>
      <w:r>
        <w:rPr>
          <w:rFonts w:ascii="Times New Roman" w:cs="Times New Roman" w:eastAsia="Times New Roman" w:hAnsi="Times New Roman"/>
          <w:sz w:val="20"/>
          <w:szCs w:val="20"/>
          <w:color w:val="231F20"/>
        </w:rPr>
        <w:t>cell engineering platforms, identifying and developing product candidates, and establishing manufacturing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capabilities. Due to our early stage of development, the number of ongoing projects, and our ability to use resources across several projects, most of our research and development costs are not recorded on a program-specific basis. These include costs for personnel, laboratory, and other indirect facility and operating costs.</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Research and development activities account for a significant portion of our operating expenses. Excluding any one-time items, we expect our research and development expenses to be materially flat in 2026 compared to 2025. Research and development expenses may increase over the longer term due to a variety of factors, including if our future clinical trials are successful and if we expand our research and development efforts. Cost increases, if they occur, would be driven in large part by advancing our current and future product candidates into and through clinical trials; identifying additional product candidates; continuing to establish our manufacturing capabilities, including through CDMOs; initiating and advancing preclinical development of our current and future product candidates; advancing and expanding the capabilities of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acquiring and licensing technologies aligned with our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or modifying the terms of existing acquisition or license arrangements; seeking regulatory approval of our current and future product candidates; and increasing our workforce to support our expanded research, clinical, and preclinical development efforts. A change in the outcome of any of these factors could result in a significant change in the costs and timing associated with the development of our product candidates. In addition, recent and potential future developments in international trade, including tariffs imposed on imports from other countries, could cause unanticipated increases in our research and development costs, primarily through increased CDMO costs and costs of our laboratory and manufacturing supplies, and we may not be able to accurately forecast their impacts on our business.</w:t>
      </w: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 related success payments and contingent consideration</w:t>
      </w:r>
    </w:p>
    <w:p>
      <w:pPr>
        <w:spacing w:after="0" w:line="118"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231F20"/>
        </w:rPr>
        <w:t>Research and development related success payments and contingent consideration include the change in the estimated fair value of our Cobalt and Harvard Success Payment liabilities and Cobalt Contingent Consideration liability. The expense or gain associated with our research and development related success payments and contingent consideration is unpredictable, in part, because our success payments are impacted by changes in our common stock price and market capitalization at the end of each reporting period, and continues to vary significantly from quarter to quarter and year to year due to changes in the assumptions used in the calculations.</w:t>
      </w:r>
    </w:p>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General and administrative</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General and administrative expenses consist of personnel-related costs, including salaries, benefits, and non-cash stock-based compensation for our employees in finance, legal, executive, human resources, and information technology functions, legal and consulting fees, insurance fees, and facility costs not otherwise included in research and development expenses. Legal fees include those related to corporate, patent, and litigation matters. Included in general and administrative expenses for the year ended December 31, 2023, are costs incurred for the early termination of the lease (Fremont lease) for our previously planned manufacturing facility in Fremont, California (Fremont facility).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139</w:t>
      </w:r>
    </w:p>
    <w:p>
      <w:pPr>
        <w:sectPr>
          <w:pgSz w:w="11880" w:h="15480" w:orient="portrait"/>
          <w:cols w:equalWidth="0" w:num="1">
            <w:col w:w="10780"/>
          </w:cols>
          <w:pgMar w:left="540" w:top="750" w:right="560" w:bottom="0" w:gutter="0" w:footer="0" w:header="0"/>
          <w:type w:val="continuous"/>
        </w:sectPr>
      </w:pPr>
    </w:p>
    <w:bookmarkStart w:id="145" w:name="page146"/>
    <w:bookmarkEnd w:id="145"/>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Excluding any one-time items, we expect our general and administrative expenses to be materially flat in 2026 compared to 2025. General and administrative expenses may increase over the longer term to support potential expanded research and development activities.</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18"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Impairment of long-lived assets in 2025 consists of non-cash losses recognized for the impairment of the right-of-use (ROU) asset, construction in progress, and laboratory equipment for our manufacturing facility in Bothell, Washington (the Bothell facility), and the ROU asset, leasehold improvements, and laboratory equipment for certain office and laboratory space in Seattle, Washington (the Seattle facility). We also recognized additional non-cash impairment losses for other long-lived assets. The losses were recorded in operating expenses in the statement of operations in the second quarter of 2025. Impairment of long-lived assets in 2024 and 2023 consists of non-cash losses recognized for the impairment of certain laboratory equipment and leasehold improvements as a result of the portfolio prioritizations in 2024 and 2023. Refer to Note 11, Impairment of long-lived assets to our consolidated financial statements included elsewhere in this Annual Report for details on the impairment.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2025 and 2024</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our results of operations for the periods presented: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0" w:type="dxa"/>
            <w:vAlign w:val="bottom"/>
          </w:tcPr>
          <w:p>
            <w:pPr>
              <w:spacing w:after="0"/>
              <w:rPr>
                <w:sz w:val="1"/>
                <w:szCs w:val="1"/>
                <w:color w:val="auto"/>
              </w:rPr>
            </w:pPr>
          </w:p>
        </w:tc>
      </w:tr>
      <w:tr>
        <w:trPr>
          <w:trHeight w:val="216"/>
        </w:trPr>
        <w:tc>
          <w:tcPr>
            <w:tcW w:w="6660" w:type="dxa"/>
            <w:vAlign w:val="bottom"/>
            <w:vMerge w:val="restart"/>
          </w:tcPr>
          <w:p>
            <w:pPr>
              <w:jc w:val="right"/>
              <w:ind w:right="5107"/>
              <w:spacing w:after="0"/>
              <w:rPr>
                <w:sz w:val="20"/>
                <w:szCs w:val="20"/>
                <w:color w:val="auto"/>
              </w:rPr>
            </w:pPr>
            <w:r>
              <w:rPr>
                <w:rFonts w:ascii="Times New Roman" w:cs="Times New Roman" w:eastAsia="Times New Roman" w:hAnsi="Times New Roman"/>
                <w:sz w:val="18"/>
                <w:szCs w:val="18"/>
                <w:color w:val="231F20"/>
                <w:w w:val="98"/>
              </w:rPr>
              <w:t>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 xml:space="preserve">Research and development </w:t>
            </w:r>
            <w:r>
              <w:rPr>
                <w:rFonts w:ascii="Times New Roman" w:cs="Times New Roman" w:eastAsia="Times New Roman" w:hAnsi="Times New Roman"/>
                <w:sz w:val="20"/>
                <w:szCs w:val="20"/>
                <w:color w:val="231F20"/>
              </w:rPr>
              <w:t>.......................................................................................</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131,980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215,673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(83,693)</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 xml:space="preserve">Research and development related success payments and contingent consideration </w:t>
            </w: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29,432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38,313</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General and administrative</w:t>
            </w: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44,296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64,040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(19,744)</w:t>
            </w:r>
          </w:p>
        </w:tc>
        <w:tc>
          <w:tcPr>
            <w:tcW w:w="0" w:type="dxa"/>
            <w:vAlign w:val="bottom"/>
          </w:tcPr>
          <w:p>
            <w:pPr>
              <w:spacing w:after="0"/>
              <w:rPr>
                <w:sz w:val="1"/>
                <w:szCs w:val="1"/>
                <w:color w:val="auto"/>
              </w:rPr>
            </w:pPr>
          </w:p>
        </w:tc>
      </w:tr>
      <w:tr>
        <w:trPr>
          <w:trHeight w:val="245"/>
        </w:trPr>
        <w:tc>
          <w:tcPr>
            <w:tcW w:w="666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231F20"/>
              </w:rPr>
              <w:t xml:space="preserve">Impairment of long-lived assets </w:t>
            </w: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44,611</w:t>
            </w:r>
          </w:p>
        </w:tc>
        <w:tc>
          <w:tcPr>
            <w:tcW w:w="14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1,891</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42,720</w:t>
            </w:r>
          </w:p>
        </w:tc>
        <w:tc>
          <w:tcPr>
            <w:tcW w:w="0" w:type="dxa"/>
            <w:vAlign w:val="bottom"/>
          </w:tcPr>
          <w:p>
            <w:pPr>
              <w:spacing w:after="0"/>
              <w:rPr>
                <w:sz w:val="1"/>
                <w:szCs w:val="1"/>
                <w:color w:val="auto"/>
              </w:rPr>
            </w:pPr>
          </w:p>
        </w:tc>
      </w:tr>
      <w:tr>
        <w:trPr>
          <w:trHeight w:val="216"/>
        </w:trPr>
        <w:tc>
          <w:tcPr>
            <w:tcW w:w="6660" w:type="dxa"/>
            <w:vAlign w:val="bottom"/>
          </w:tcPr>
          <w:p>
            <w:pPr>
              <w:jc w:val="right"/>
              <w:ind w:right="67"/>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Totaloperatingexpenses</w:t>
            </w:r>
          </w:p>
        </w:tc>
        <w:tc>
          <w:tcPr>
            <w:tcW w:w="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250,319</w:t>
            </w:r>
          </w:p>
        </w:tc>
        <w:tc>
          <w:tcPr>
            <w:tcW w:w="14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272,723</w:t>
            </w:r>
          </w:p>
        </w:tc>
        <w:tc>
          <w:tcPr>
            <w:tcW w:w="1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(22,404)</w:t>
            </w:r>
          </w:p>
        </w:tc>
        <w:tc>
          <w:tcPr>
            <w:tcW w:w="0" w:type="dxa"/>
            <w:vAlign w:val="bottom"/>
          </w:tcPr>
          <w:p>
            <w:pPr>
              <w:spacing w:after="0"/>
              <w:rPr>
                <w:sz w:val="1"/>
                <w:szCs w:val="1"/>
                <w:color w:val="auto"/>
              </w:rPr>
            </w:pPr>
          </w:p>
        </w:tc>
      </w:tr>
      <w:tr>
        <w:trPr>
          <w:trHeight w:val="192"/>
        </w:trPr>
        <w:tc>
          <w:tcPr>
            <w:tcW w:w="6660" w:type="dxa"/>
            <w:vAlign w:val="bottom"/>
          </w:tcPr>
          <w:p>
            <w:pPr>
              <w:jc w:val="right"/>
              <w:ind w:right="67"/>
              <w:spacing w:after="0" w:line="19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Lossfromoperations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231F20"/>
              </w:rPr>
              <w:t>(250,319)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231F20"/>
              </w:rPr>
              <w:t>(272,723)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1"/>
              <w:spacing w:after="0" w:line="192" w:lineRule="exact"/>
              <w:rPr>
                <w:sz w:val="20"/>
                <w:szCs w:val="20"/>
                <w:color w:val="auto"/>
              </w:rPr>
            </w:pPr>
            <w:r>
              <w:rPr>
                <w:rFonts w:ascii="Times New Roman" w:cs="Times New Roman" w:eastAsia="Times New Roman" w:hAnsi="Times New Roman"/>
                <w:sz w:val="18"/>
                <w:szCs w:val="18"/>
                <w:color w:val="231F20"/>
              </w:rPr>
              <w:t>22,404</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w w:val="99"/>
              </w:rPr>
              <w:t xml:space="preserve">Interest income, net </w:t>
            </w:r>
            <w:r>
              <w:rPr>
                <w:rFonts w:ascii="Times New Roman" w:cs="Times New Roman" w:eastAsia="Times New Roman" w:hAnsi="Times New Roman"/>
                <w:sz w:val="20"/>
                <w:szCs w:val="20"/>
                <w:color w:val="231F20"/>
                <w:w w:val="9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3,848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10,471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(6,623)</w:t>
            </w:r>
          </w:p>
        </w:tc>
        <w:tc>
          <w:tcPr>
            <w:tcW w:w="0" w:type="dxa"/>
            <w:vAlign w:val="bottom"/>
          </w:tcPr>
          <w:p>
            <w:pPr>
              <w:spacing w:after="0"/>
              <w:rPr>
                <w:sz w:val="1"/>
                <w:szCs w:val="1"/>
                <w:color w:val="auto"/>
              </w:rPr>
            </w:pPr>
          </w:p>
        </w:tc>
      </w:tr>
      <w:tr>
        <w:trPr>
          <w:trHeight w:val="245"/>
        </w:trPr>
        <w:tc>
          <w:tcPr>
            <w:tcW w:w="666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231F20"/>
                <w:w w:val="99"/>
              </w:rPr>
              <w:t xml:space="preserve">Other income (expense), net </w:t>
            </w:r>
            <w:r>
              <w:rPr>
                <w:rFonts w:ascii="Times New Roman" w:cs="Times New Roman" w:eastAsia="Times New Roman" w:hAnsi="Times New Roman"/>
                <w:sz w:val="20"/>
                <w:szCs w:val="20"/>
                <w:color w:val="231F20"/>
                <w:w w:val="99"/>
              </w:rPr>
              <w:t>.........................................................................................</w:t>
            </w:r>
          </w:p>
        </w:tc>
        <w:tc>
          <w:tcPr>
            <w:tcW w:w="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2,305</w:t>
            </w:r>
          </w:p>
        </w:tc>
        <w:tc>
          <w:tcPr>
            <w:tcW w:w="14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(4,507)</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8"/>
                <w:szCs w:val="18"/>
                <w:color w:val="231F20"/>
              </w:rPr>
              <w:t>6,812</w:t>
            </w:r>
          </w:p>
        </w:tc>
        <w:tc>
          <w:tcPr>
            <w:tcW w:w="0" w:type="dxa"/>
            <w:vAlign w:val="bottom"/>
          </w:tcPr>
          <w:p>
            <w:pPr>
              <w:spacing w:after="0"/>
              <w:rPr>
                <w:sz w:val="1"/>
                <w:szCs w:val="1"/>
                <w:color w:val="auto"/>
              </w:rPr>
            </w:pPr>
          </w:p>
        </w:tc>
      </w:tr>
      <w:tr>
        <w:trPr>
          <w:trHeight w:val="216"/>
        </w:trPr>
        <w:tc>
          <w:tcPr>
            <w:tcW w:w="6660" w:type="dxa"/>
            <w:vAlign w:val="bottom"/>
          </w:tcPr>
          <w:p>
            <w:pPr>
              <w:jc w:val="right"/>
              <w:ind w:right="67"/>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Netloss</w:t>
            </w:r>
          </w:p>
        </w:tc>
        <w:tc>
          <w:tcPr>
            <w:tcW w:w="20" w:type="dxa"/>
            <w:vAlign w:val="bottom"/>
          </w:tcPr>
          <w:p>
            <w:pPr>
              <w:spacing w:after="0"/>
              <w:rPr>
                <w:sz w:val="18"/>
                <w:szCs w:val="18"/>
                <w:color w:val="auto"/>
              </w:rPr>
            </w:pPr>
          </w:p>
        </w:tc>
        <w:tc>
          <w:tcPr>
            <w:tcW w:w="22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1"/>
                <w:szCs w:val="11"/>
                <w:color w:val="231F20"/>
                <w:w w:val="71"/>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(244,166)</w:t>
            </w:r>
          </w:p>
        </w:tc>
        <w:tc>
          <w:tcPr>
            <w:tcW w:w="140" w:type="dxa"/>
            <w:vAlign w:val="bottom"/>
          </w:tcPr>
          <w:p>
            <w:pPr>
              <w:spacing w:after="0"/>
              <w:rPr>
                <w:sz w:val="18"/>
                <w:szCs w:val="18"/>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(266,759)</w:t>
            </w:r>
          </w:p>
        </w:tc>
        <w:tc>
          <w:tcPr>
            <w:tcW w:w="120" w:type="dxa"/>
            <w:vAlign w:val="bottom"/>
          </w:tcPr>
          <w:p>
            <w:pPr>
              <w:spacing w:after="0"/>
              <w:rPr>
                <w:sz w:val="18"/>
                <w:szCs w:val="18"/>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8"/>
                <w:szCs w:val="18"/>
                <w:color w:val="231F20"/>
              </w:rPr>
              <w:t>22,593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-1743710</wp:posOffset>
            </wp:positionV>
            <wp:extent cx="177673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1776730" cy="38100"/>
                    </a:xfrm>
                    <a:prstGeom prst="rect">
                      <a:avLst/>
                    </a:prstGeom>
                    <a:noFill/>
                  </pic:spPr>
                </pic:pic>
              </a:graphicData>
            </a:graphic>
          </wp:anchor>
        </w:drawing>
      </w: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the components of our research and development expenses for the periods presented: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1"/>
        </w:trPr>
        <w:tc>
          <w:tcPr>
            <w:tcW w:w="6640" w:type="dxa"/>
            <w:vAlign w:val="bottom"/>
          </w:tcPr>
          <w:p>
            <w:pPr>
              <w:jc w:val="right"/>
              <w:ind w:right="68"/>
              <w:spacing w:after="0" w:line="221" w:lineRule="exact"/>
              <w:rPr>
                <w:sz w:val="20"/>
                <w:szCs w:val="20"/>
                <w:color w:val="auto"/>
              </w:rPr>
            </w:pPr>
            <w:r>
              <w:rPr>
                <w:rFonts w:ascii="Times New Roman" w:cs="Times New Roman" w:eastAsia="Times New Roman" w:hAnsi="Times New Roman"/>
                <w:sz w:val="18"/>
                <w:szCs w:val="18"/>
                <w:color w:val="231F20"/>
                <w:w w:val="99"/>
              </w:rPr>
              <w:t>Personnel</w:t>
            </w:r>
            <w:r>
              <w:rPr>
                <w:rFonts w:ascii="Times New Roman" w:cs="Times New Roman" w:eastAsia="Times New Roman" w:hAnsi="Times New Roman"/>
                <w:sz w:val="20"/>
                <w:szCs w:val="20"/>
                <w:color w:val="231F20"/>
                <w:w w:val="99"/>
              </w:rPr>
              <w: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54,508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86,796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(32,288)</w:t>
            </w:r>
          </w:p>
        </w:tc>
      </w:tr>
      <w:tr>
        <w:trPr>
          <w:trHeight w:val="221"/>
        </w:trPr>
        <w:tc>
          <w:tcPr>
            <w:tcW w:w="6640" w:type="dxa"/>
            <w:vAlign w:val="bottom"/>
          </w:tcPr>
          <w:p>
            <w:pPr>
              <w:jc w:val="right"/>
              <w:ind w:right="68"/>
              <w:spacing w:after="0" w:line="221" w:lineRule="exact"/>
              <w:rPr>
                <w:sz w:val="20"/>
                <w:szCs w:val="20"/>
                <w:color w:val="auto"/>
              </w:rPr>
            </w:pPr>
            <w:r>
              <w:rPr>
                <w:rFonts w:ascii="Times New Roman" w:cs="Times New Roman" w:eastAsia="Times New Roman" w:hAnsi="Times New Roman"/>
                <w:sz w:val="18"/>
                <w:szCs w:val="18"/>
                <w:color w:val="231F20"/>
                <w:w w:val="99"/>
              </w:rPr>
              <w:t xml:space="preserve">Research, development, and laboratory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20,548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51,573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(31,025)</w:t>
            </w:r>
          </w:p>
        </w:tc>
      </w:tr>
      <w:tr>
        <w:trPr>
          <w:trHeight w:val="221"/>
        </w:trPr>
        <w:tc>
          <w:tcPr>
            <w:tcW w:w="6640" w:type="dxa"/>
            <w:vAlign w:val="bottom"/>
          </w:tcPr>
          <w:p>
            <w:pPr>
              <w:jc w:val="right"/>
              <w:ind w:right="68"/>
              <w:spacing w:after="0" w:line="221" w:lineRule="exact"/>
              <w:rPr>
                <w:sz w:val="20"/>
                <w:szCs w:val="20"/>
                <w:color w:val="auto"/>
              </w:rPr>
            </w:pPr>
            <w:r>
              <w:rPr>
                <w:rFonts w:ascii="Times New Roman" w:cs="Times New Roman" w:eastAsia="Times New Roman" w:hAnsi="Times New Roman"/>
                <w:sz w:val="18"/>
                <w:szCs w:val="18"/>
                <w:color w:val="231F20"/>
                <w:w w:val="99"/>
              </w:rPr>
              <w:t xml:space="preserve">Facility and other allocated costs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46,039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60,181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(14,142)</w:t>
            </w:r>
          </w:p>
        </w:tc>
      </w:tr>
      <w:tr>
        <w:trPr>
          <w:trHeight w:val="221"/>
        </w:trPr>
        <w:tc>
          <w:tcPr>
            <w:tcW w:w="6640" w:type="dxa"/>
            <w:vAlign w:val="bottom"/>
          </w:tcPr>
          <w:p>
            <w:pPr>
              <w:jc w:val="right"/>
              <w:ind w:right="68"/>
              <w:spacing w:after="0" w:line="221" w:lineRule="exact"/>
              <w:rPr>
                <w:sz w:val="20"/>
                <w:szCs w:val="20"/>
                <w:color w:val="auto"/>
              </w:rPr>
            </w:pPr>
            <w:r>
              <w:rPr>
                <w:rFonts w:ascii="Times New Roman" w:cs="Times New Roman" w:eastAsia="Times New Roman" w:hAnsi="Times New Roman"/>
                <w:sz w:val="18"/>
                <w:szCs w:val="18"/>
                <w:color w:val="231F20"/>
                <w:w w:val="99"/>
              </w:rPr>
              <w:t xml:space="preserve">Third-party manufacturing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7,646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231F20"/>
              </w:rPr>
              <w:t>11,231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(3,585)</w:t>
            </w:r>
          </w:p>
        </w:tc>
      </w:tr>
      <w:tr>
        <w:trPr>
          <w:trHeight w:val="245"/>
        </w:trPr>
        <w:tc>
          <w:tcPr>
            <w:tcW w:w="66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231F20"/>
                <w:w w:val="99"/>
              </w:rPr>
              <w:t>Other</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8"/>
                <w:szCs w:val="18"/>
                <w:color w:val="231F20"/>
              </w:rPr>
              <w:t>3,239</w:t>
            </w:r>
          </w:p>
        </w:tc>
        <w:tc>
          <w:tcPr>
            <w:tcW w:w="1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8"/>
                <w:szCs w:val="18"/>
                <w:color w:val="231F20"/>
              </w:rPr>
              <w:t>5,892</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(2,653)</w:t>
            </w:r>
          </w:p>
        </w:tc>
      </w:tr>
      <w:tr>
        <w:trPr>
          <w:trHeight w:val="216"/>
        </w:trPr>
        <w:tc>
          <w:tcPr>
            <w:tcW w:w="6640" w:type="dxa"/>
            <w:vAlign w:val="bottom"/>
          </w:tcPr>
          <w:p>
            <w:pPr>
              <w:jc w:val="right"/>
              <w:ind w:right="68"/>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Totalresearchanddevelopmentexpense</w:t>
            </w:r>
          </w:p>
        </w:tc>
        <w:tc>
          <w:tcPr>
            <w:tcW w:w="260" w:type="dxa"/>
            <w:vAlign w:val="bottom"/>
            <w:tcBorders>
              <w:bottom w:val="single" w:sz="8" w:color="231F20"/>
            </w:tcBorders>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8"/>
                <w:szCs w:val="18"/>
                <w:color w:val="231F20"/>
              </w:rPr>
              <w:t>131,980</w:t>
            </w:r>
          </w:p>
        </w:tc>
        <w:tc>
          <w:tcPr>
            <w:tcW w:w="120" w:type="dxa"/>
            <w:vAlign w:val="bottom"/>
          </w:tcPr>
          <w:p>
            <w:pPr>
              <w:spacing w:after="0"/>
              <w:rPr>
                <w:sz w:val="18"/>
                <w:szCs w:val="18"/>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8"/>
                <w:szCs w:val="18"/>
                <w:color w:val="231F20"/>
              </w:rPr>
              <w:t>215,673</w:t>
            </w:r>
          </w:p>
        </w:tc>
        <w:tc>
          <w:tcPr>
            <w:tcW w:w="120" w:type="dxa"/>
            <w:vAlign w:val="bottom"/>
          </w:tcPr>
          <w:p>
            <w:pPr>
              <w:spacing w:after="0"/>
              <w:rPr>
                <w:sz w:val="18"/>
                <w:szCs w:val="18"/>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(83,693)</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-1163955</wp:posOffset>
            </wp:positionV>
            <wp:extent cx="17926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1792605" cy="381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60" w:firstLine="490"/>
        <w:spacing w:after="0" w:line="273" w:lineRule="auto"/>
        <w:rPr>
          <w:sz w:val="20"/>
          <w:szCs w:val="20"/>
          <w:color w:val="auto"/>
        </w:rPr>
      </w:pPr>
      <w:r>
        <w:rPr>
          <w:rFonts w:ascii="Times New Roman" w:cs="Times New Roman" w:eastAsia="Times New Roman" w:hAnsi="Times New Roman"/>
          <w:sz w:val="20"/>
          <w:szCs w:val="20"/>
          <w:color w:val="231F20"/>
        </w:rPr>
        <w:t>Research and development expense was $ 132.0 million and $215.7 million for the years ended December 31, 2025 and 2024, respectively. The decrease of $83.7 million was primarily due to:</w:t>
      </w:r>
    </w:p>
    <w:p>
      <w:pPr>
        <w:spacing w:after="0" w:line="66" w:lineRule="exact"/>
        <w:rPr>
          <w:sz w:val="20"/>
          <w:szCs w:val="20"/>
          <w:color w:val="auto"/>
        </w:rPr>
      </w:pPr>
    </w:p>
    <w:p>
      <w:pPr>
        <w:ind w:left="980" w:right="380" w:hanging="490"/>
        <w:spacing w:after="0" w:line="276" w:lineRule="auto"/>
        <w:tabs>
          <w:tab w:leader="none" w:pos="980" w:val="left"/>
        </w:tabs>
        <w:numPr>
          <w:ilvl w:val="0"/>
          <w:numId w:val="75"/>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$32.3 million in personnel-related expenses due to lower research and development headcount primarily related to the portfolio prioritization in the fourth quarter of 2024;</w:t>
      </w:r>
    </w:p>
    <w:p>
      <w:pPr>
        <w:spacing w:after="0" w:line="64"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75"/>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$31.0 million in research, development, and laboratory expenses primarily due to reduced scope of research and development activities related to the portfolio prioritization in the fourth quarter of 2024;</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140</w:t>
      </w:r>
    </w:p>
    <w:p>
      <w:pPr>
        <w:sectPr>
          <w:pgSz w:w="11880" w:h="15480" w:orient="portrait"/>
          <w:cols w:equalWidth="0" w:num="1">
            <w:col w:w="10800"/>
          </w:cols>
          <w:pgMar w:left="540" w:top="750" w:right="540" w:bottom="0" w:gutter="0" w:footer="0" w:header="0"/>
          <w:type w:val="continuous"/>
        </w:sectPr>
      </w:pPr>
    </w:p>
    <w:bookmarkStart w:id="146" w:name="page147"/>
    <w:bookmarkEnd w:id="146"/>
    <w:p>
      <w:pPr>
        <w:ind w:left="980" w:right="280" w:hanging="490"/>
        <w:spacing w:after="0" w:line="276" w:lineRule="auto"/>
        <w:tabs>
          <w:tab w:leader="none" w:pos="980" w:val="left"/>
        </w:tabs>
        <w:numPr>
          <w:ilvl w:val="0"/>
          <w:numId w:val="76"/>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$14.1 million in facility and other allocated costs primarily due to the portfolio prioritization in the fourth quarter of 2024;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6"/>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$3.6 million in third-party manufacturing costs at CDMOs.</w:t>
      </w: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 related success payments and contingent consideration</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expenses and gains associated with research and development related success payments and contingent consideration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4"/>
          </w:tcPr>
          <w:p>
            <w:pPr>
              <w:jc w:val="right"/>
              <w:ind w:right="513"/>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1"/>
        </w:trPr>
        <w:tc>
          <w:tcPr>
            <w:tcW w:w="64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213"/>
        </w:trPr>
        <w:tc>
          <w:tcPr>
            <w:tcW w:w="6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64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231F20"/>
              </w:rPr>
              <w:t xml:space="preserve">Cobalt success payment </w:t>
            </w:r>
            <w:r>
              <w:rPr>
                <w:rFonts w:ascii="Times New Roman" w:cs="Times New Roman" w:eastAsia="Times New Roman" w:hAnsi="Times New Roman"/>
                <w:sz w:val="20"/>
                <w:szCs w:val="20"/>
                <w:color w:val="231F20"/>
              </w:rPr>
              <w:t>...........................................................................................</w:t>
            </w: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ind w:right="13"/>
              <w:spacing w:after="0" w:line="203" w:lineRule="exact"/>
              <w:rPr>
                <w:sz w:val="20"/>
                <w:szCs w:val="20"/>
                <w:color w:val="auto"/>
              </w:rPr>
            </w:pPr>
            <w:r>
              <w:rPr>
                <w:rFonts w:ascii="Times New Roman" w:cs="Times New Roman" w:eastAsia="Times New Roman" w:hAnsi="Times New Roman"/>
                <w:sz w:val="18"/>
                <w:szCs w:val="18"/>
                <w:color w:val="231F20"/>
              </w:rPr>
              <w:t>13,639</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(6,924)</w:t>
            </w:r>
          </w:p>
        </w:tc>
        <w:tc>
          <w:tcPr>
            <w:tcW w:w="360" w:type="dxa"/>
            <w:vAlign w:val="bottom"/>
            <w:gridSpan w:val="2"/>
          </w:tcPr>
          <w:p>
            <w:pPr>
              <w:jc w:val="right"/>
              <w:ind w:right="55"/>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20,563</w:t>
            </w:r>
          </w:p>
        </w:tc>
      </w:tr>
      <w:tr>
        <w:trPr>
          <w:trHeight w:val="207"/>
        </w:trPr>
        <w:tc>
          <w:tcPr>
            <w:tcW w:w="6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231F20"/>
              </w:rPr>
              <w:t>Harvard success payments</w:t>
            </w:r>
            <w:r>
              <w:rPr>
                <w:rFonts w:ascii="Times New Roman" w:cs="Times New Roman" w:eastAsia="Times New Roman" w:hAnsi="Times New Roman"/>
                <w:sz w:val="20"/>
                <w:szCs w:val="20"/>
                <w:color w:val="231F20"/>
              </w:rPr>
              <w:t>........................................................................................</w:t>
            </w:r>
          </w:p>
        </w:tc>
        <w:tc>
          <w:tcPr>
            <w:tcW w:w="280" w:type="dxa"/>
            <w:vAlign w:val="bottom"/>
          </w:tcPr>
          <w:p>
            <w:pPr>
              <w:spacing w:after="0"/>
              <w:rPr>
                <w:sz w:val="17"/>
                <w:szCs w:val="17"/>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231F20"/>
              </w:rPr>
              <w:t>1,043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2,362</w:t>
            </w:r>
          </w:p>
        </w:tc>
      </w:tr>
      <w:tr>
        <w:trPr>
          <w:trHeight w:val="245"/>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231F20"/>
              </w:rPr>
              <w:t>Contingent consideration</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18"/>
                <w:szCs w:val="18"/>
                <w:color w:val="231F20"/>
              </w:rPr>
              <w:t>14,750</w:t>
            </w:r>
          </w:p>
        </w:tc>
        <w:tc>
          <w:tcPr>
            <w:tcW w:w="14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(638)</w:t>
            </w:r>
          </w:p>
        </w:tc>
        <w:tc>
          <w:tcPr>
            <w:tcW w:w="1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15,388</w:t>
            </w:r>
          </w:p>
        </w:tc>
      </w:tr>
      <w:tr>
        <w:trPr>
          <w:trHeight w:val="202"/>
        </w:trPr>
        <w:tc>
          <w:tcPr>
            <w:tcW w:w="6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Total research and development related success payments and contingent consideration</w:t>
            </w:r>
          </w:p>
        </w:tc>
        <w:tc>
          <w:tcPr>
            <w:tcW w:w="280" w:type="dxa"/>
            <w:vAlign w:val="bottom"/>
            <w:tcBorders>
              <w:bottom w:val="single" w:sz="8" w:color="231F20"/>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231F20"/>
            </w:tcBorders>
          </w:tcPr>
          <w:p>
            <w:pPr>
              <w:jc w:val="right"/>
              <w:ind w:right="13"/>
              <w:spacing w:after="0" w:line="202" w:lineRule="exact"/>
              <w:rPr>
                <w:sz w:val="20"/>
                <w:szCs w:val="20"/>
                <w:color w:val="auto"/>
              </w:rPr>
            </w:pPr>
            <w:r>
              <w:rPr>
                <w:rFonts w:ascii="Times New Roman" w:cs="Times New Roman" w:eastAsia="Times New Roman" w:hAnsi="Times New Roman"/>
                <w:sz w:val="18"/>
                <w:szCs w:val="18"/>
                <w:color w:val="231F20"/>
              </w:rPr>
              <w:t>29,432</w:t>
            </w:r>
          </w:p>
        </w:tc>
        <w:tc>
          <w:tcPr>
            <w:tcW w:w="140" w:type="dxa"/>
            <w:vAlign w:val="bottom"/>
          </w:tcPr>
          <w:p>
            <w:pPr>
              <w:spacing w:after="0"/>
              <w:rPr>
                <w:sz w:val="17"/>
                <w:szCs w:val="17"/>
                <w:color w:val="auto"/>
              </w:rPr>
            </w:pPr>
          </w:p>
        </w:tc>
        <w:tc>
          <w:tcPr>
            <w:tcW w:w="12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w w:val="88"/>
              </w:rPr>
              <w:t>$</w:t>
            </w:r>
          </w:p>
        </w:tc>
        <w:tc>
          <w:tcPr>
            <w:tcW w:w="126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rPr>
              <w:t>(8,881)</w:t>
            </w:r>
          </w:p>
        </w:tc>
        <w:tc>
          <w:tcPr>
            <w:tcW w:w="140" w:type="dxa"/>
            <w:vAlign w:val="bottom"/>
          </w:tcPr>
          <w:p>
            <w:pPr>
              <w:spacing w:after="0"/>
              <w:rPr>
                <w:sz w:val="17"/>
                <w:szCs w:val="17"/>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rPr>
              <w:t>38,313</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-917575</wp:posOffset>
            </wp:positionV>
            <wp:extent cx="186563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extLst>
                    </a:blip>
                    <a:srcRect/>
                    <a:stretch>
                      <a:fillRect/>
                    </a:stretch>
                  </pic:blipFill>
                  <pic:spPr bwMode="auto">
                    <a:xfrm>
                      <a:off x="0" y="0"/>
                      <a:ext cx="1865630" cy="38100"/>
                    </a:xfrm>
                    <a:prstGeom prst="rect">
                      <a:avLst/>
                    </a:prstGeom>
                    <a:noFill/>
                  </pic:spPr>
                </pic:pic>
              </a:graphicData>
            </a:graphic>
          </wp:anchor>
        </w:drawing>
      </w:r>
    </w:p>
    <w:p>
      <w:pPr>
        <w:spacing w:after="0" w:line="277"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The expense related to the change in the estimated fair value of our Cobalt Success Payment was $13.6 million compared to a gain of $6.9 million for the years ended December 31, 2025 and 2024, respectively. The changes in value were primarily due to changes in our market capitalization during the relevant periods. The expense related to the change in the estimated fair value of our Harvard Success Payments was $1.1 million compared to a gain of $1.3 million for the years ended December 31, 2025 and 2024, respectively. The changes in value were primarily due to changes in our common stock price during the relevant periods. The expense related to the change in the estimated fair value of our Cobalt Contingent Consideration was $14.7 million compared to a gain of $0.6 million for the years ended December 31, 2025 and 2024, respectively. The changes in value were due primarily to changes in the timing and probability of the achievement of milestones during the relevant periods and the discount rates used in the calculations.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General and administrative expenses were $44.3 million and $64.0 million for the years ended December 31, 2025 and 2024, respectively. The decrease of $19.7 million was primarily due to a decrease in personnel costs, including non-cash stock-based compensation of $9.5 million, costs of $5.5 million incurred in 2024 related to the portfolio prioritization in the fourth quarter of 2024 that did not recur in 2025, a decrease in legal fees of $1.9 million, and a decrease in consulting fees of $1.6 million.</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1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Impairment of long-lived assets was $44.6 million and $1.9 million for the years ended December 31, 2025 and 2024, respectively. See Note 11, Impairment of long-lived assets to our consolidated financial statements included elsewhere in this Annual Report for details on the impairments.</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Interest income, net</w:t>
      </w:r>
    </w:p>
    <w:p>
      <w:pPr>
        <w:spacing w:after="0" w:line="228"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231F20"/>
        </w:rPr>
        <w:t>Interest income, net, was $3.8 million and $10.5 million for the years ended December 31, 2025 and 2024, respectively, and consisted primarily of interest earned on our cash and marketable securities balances.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Other income (expense), net</w:t>
      </w:r>
    </w:p>
    <w:p>
      <w:pPr>
        <w:spacing w:after="0" w:line="11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Other income, net, was $2.3 million and other expense, net, was $4.5 million for the years ended December 31, 2025 and 2024, respectively. The change in value of $6.8 million was due to cash received in 2025 related to the sale of equipment and other-than-temporary impairments of other assets recorded in 2024 that did not recur in 2025.</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141</w:t>
      </w:r>
    </w:p>
    <w:p>
      <w:pPr>
        <w:sectPr>
          <w:pgSz w:w="11880" w:h="15480" w:orient="portrait"/>
          <w:cols w:equalWidth="0" w:num="1">
            <w:col w:w="10800"/>
          </w:cols>
          <w:pgMar w:left="540" w:top="764" w:right="54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2024 and 2023</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our results of operations for the periods presented: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0" w:type="dxa"/>
            <w:vAlign w:val="bottom"/>
          </w:tcPr>
          <w:p>
            <w:pPr>
              <w:spacing w:after="0"/>
              <w:rPr>
                <w:sz w:val="1"/>
                <w:szCs w:val="1"/>
                <w:color w:val="auto"/>
              </w:rPr>
            </w:pPr>
          </w:p>
        </w:tc>
      </w:tr>
      <w:tr>
        <w:trPr>
          <w:trHeight w:val="216"/>
        </w:trPr>
        <w:tc>
          <w:tcPr>
            <w:tcW w:w="6660" w:type="dxa"/>
            <w:vAlign w:val="bottom"/>
            <w:vMerge w:val="restart"/>
          </w:tcPr>
          <w:p>
            <w:pPr>
              <w:jc w:val="right"/>
              <w:ind w:right="5107"/>
              <w:spacing w:after="0"/>
              <w:rPr>
                <w:sz w:val="20"/>
                <w:szCs w:val="20"/>
                <w:color w:val="auto"/>
              </w:rPr>
            </w:pPr>
            <w:r>
              <w:rPr>
                <w:rFonts w:ascii="Times New Roman" w:cs="Times New Roman" w:eastAsia="Times New Roman" w:hAnsi="Times New Roman"/>
                <w:sz w:val="18"/>
                <w:szCs w:val="18"/>
                <w:color w:val="231F20"/>
                <w:w w:val="98"/>
              </w:rPr>
              <w:t>Operating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 xml:space="preserve">Research and development </w:t>
            </w:r>
            <w:r>
              <w:rPr>
                <w:rFonts w:ascii="Times New Roman" w:cs="Times New Roman" w:eastAsia="Times New Roman" w:hAnsi="Times New Roman"/>
                <w:sz w:val="20"/>
                <w:szCs w:val="20"/>
                <w:color w:val="231F20"/>
              </w:rPr>
              <w:t>.......................................................................................</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215,673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261,809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(46,136)</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 xml:space="preserve">Research and development related success payments and contingent consideration </w:t>
            </w: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40,100</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rPr>
              <w:t>General and administrative</w:t>
            </w: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64,040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73,299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(9,259)</w:t>
            </w:r>
          </w:p>
        </w:tc>
        <w:tc>
          <w:tcPr>
            <w:tcW w:w="0" w:type="dxa"/>
            <w:vAlign w:val="bottom"/>
          </w:tcPr>
          <w:p>
            <w:pPr>
              <w:spacing w:after="0"/>
              <w:rPr>
                <w:sz w:val="1"/>
                <w:szCs w:val="1"/>
                <w:color w:val="auto"/>
              </w:rPr>
            </w:pPr>
          </w:p>
        </w:tc>
      </w:tr>
      <w:tr>
        <w:trPr>
          <w:trHeight w:val="245"/>
        </w:trPr>
        <w:tc>
          <w:tcPr>
            <w:tcW w:w="666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231F20"/>
              </w:rPr>
              <w:t xml:space="preserve">Impairment of long-lived assets </w:t>
            </w: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1,891</w:t>
            </w:r>
          </w:p>
        </w:tc>
        <w:tc>
          <w:tcPr>
            <w:tcW w:w="14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7,014</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(5,123)</w:t>
            </w:r>
          </w:p>
        </w:tc>
        <w:tc>
          <w:tcPr>
            <w:tcW w:w="0" w:type="dxa"/>
            <w:vAlign w:val="bottom"/>
          </w:tcPr>
          <w:p>
            <w:pPr>
              <w:spacing w:after="0"/>
              <w:rPr>
                <w:sz w:val="1"/>
                <w:szCs w:val="1"/>
                <w:color w:val="auto"/>
              </w:rPr>
            </w:pPr>
          </w:p>
        </w:tc>
      </w:tr>
      <w:tr>
        <w:trPr>
          <w:trHeight w:val="216"/>
        </w:trPr>
        <w:tc>
          <w:tcPr>
            <w:tcW w:w="6660" w:type="dxa"/>
            <w:vAlign w:val="bottom"/>
          </w:tcPr>
          <w:p>
            <w:pPr>
              <w:jc w:val="right"/>
              <w:ind w:right="67"/>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Totaloperatingexpenses</w:t>
            </w:r>
          </w:p>
        </w:tc>
        <w:tc>
          <w:tcPr>
            <w:tcW w:w="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272,723</w:t>
            </w:r>
          </w:p>
        </w:tc>
        <w:tc>
          <w:tcPr>
            <w:tcW w:w="140" w:type="dxa"/>
            <w:vAlign w:val="bottom"/>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293,141</w:t>
            </w:r>
          </w:p>
        </w:tc>
        <w:tc>
          <w:tcPr>
            <w:tcW w:w="1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(20,418)</w:t>
            </w:r>
          </w:p>
        </w:tc>
        <w:tc>
          <w:tcPr>
            <w:tcW w:w="0" w:type="dxa"/>
            <w:vAlign w:val="bottom"/>
          </w:tcPr>
          <w:p>
            <w:pPr>
              <w:spacing w:after="0"/>
              <w:rPr>
                <w:sz w:val="1"/>
                <w:szCs w:val="1"/>
                <w:color w:val="auto"/>
              </w:rPr>
            </w:pPr>
          </w:p>
        </w:tc>
      </w:tr>
      <w:tr>
        <w:trPr>
          <w:trHeight w:val="192"/>
        </w:trPr>
        <w:tc>
          <w:tcPr>
            <w:tcW w:w="6660" w:type="dxa"/>
            <w:vAlign w:val="bottom"/>
          </w:tcPr>
          <w:p>
            <w:pPr>
              <w:jc w:val="right"/>
              <w:ind w:right="67"/>
              <w:spacing w:after="0" w:line="19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Lossfromoperations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231F20"/>
              </w:rPr>
              <w:t>(272,723)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231F20"/>
              </w:rPr>
              <w:t>(293,141)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1"/>
              <w:spacing w:after="0" w:line="192" w:lineRule="exact"/>
              <w:rPr>
                <w:sz w:val="20"/>
                <w:szCs w:val="20"/>
                <w:color w:val="auto"/>
              </w:rPr>
            </w:pPr>
            <w:r>
              <w:rPr>
                <w:rFonts w:ascii="Times New Roman" w:cs="Times New Roman" w:eastAsia="Times New Roman" w:hAnsi="Times New Roman"/>
                <w:sz w:val="18"/>
                <w:szCs w:val="18"/>
                <w:color w:val="231F20"/>
              </w:rPr>
              <w:t>20,418</w:t>
            </w:r>
          </w:p>
        </w:tc>
        <w:tc>
          <w:tcPr>
            <w:tcW w:w="0" w:type="dxa"/>
            <w:vAlign w:val="bottom"/>
          </w:tcPr>
          <w:p>
            <w:pPr>
              <w:spacing w:after="0"/>
              <w:rPr>
                <w:sz w:val="1"/>
                <w:szCs w:val="1"/>
                <w:color w:val="auto"/>
              </w:rPr>
            </w:pPr>
          </w:p>
        </w:tc>
      </w:tr>
      <w:tr>
        <w:trPr>
          <w:trHeight w:val="221"/>
        </w:trPr>
        <w:tc>
          <w:tcPr>
            <w:tcW w:w="6660" w:type="dxa"/>
            <w:vAlign w:val="bottom"/>
          </w:tcPr>
          <w:p>
            <w:pPr>
              <w:jc w:val="right"/>
              <w:ind w:right="67"/>
              <w:spacing w:after="0" w:line="221" w:lineRule="exact"/>
              <w:rPr>
                <w:sz w:val="20"/>
                <w:szCs w:val="20"/>
                <w:color w:val="auto"/>
              </w:rPr>
            </w:pPr>
            <w:r>
              <w:rPr>
                <w:rFonts w:ascii="Times New Roman" w:cs="Times New Roman" w:eastAsia="Times New Roman" w:hAnsi="Times New Roman"/>
                <w:sz w:val="18"/>
                <w:szCs w:val="18"/>
                <w:color w:val="231F20"/>
                <w:w w:val="99"/>
              </w:rPr>
              <w:t xml:space="preserve">Interest income, net </w:t>
            </w:r>
            <w:r>
              <w:rPr>
                <w:rFonts w:ascii="Times New Roman" w:cs="Times New Roman" w:eastAsia="Times New Roman" w:hAnsi="Times New Roman"/>
                <w:sz w:val="20"/>
                <w:szCs w:val="20"/>
                <w:color w:val="231F20"/>
                <w:w w:val="9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10,471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9,938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533</w:t>
            </w:r>
          </w:p>
        </w:tc>
        <w:tc>
          <w:tcPr>
            <w:tcW w:w="0" w:type="dxa"/>
            <w:vAlign w:val="bottom"/>
          </w:tcPr>
          <w:p>
            <w:pPr>
              <w:spacing w:after="0"/>
              <w:rPr>
                <w:sz w:val="1"/>
                <w:szCs w:val="1"/>
                <w:color w:val="auto"/>
              </w:rPr>
            </w:pPr>
          </w:p>
        </w:tc>
      </w:tr>
      <w:tr>
        <w:trPr>
          <w:trHeight w:val="245"/>
        </w:trPr>
        <w:tc>
          <w:tcPr>
            <w:tcW w:w="666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231F20"/>
                <w:w w:val="99"/>
              </w:rPr>
              <w:t>Other expense, net</w:t>
            </w:r>
            <w:r>
              <w:rPr>
                <w:rFonts w:ascii="Times New Roman" w:cs="Times New Roman" w:eastAsia="Times New Roman" w:hAnsi="Times New Roman"/>
                <w:sz w:val="20"/>
                <w:szCs w:val="20"/>
                <w:color w:val="231F20"/>
                <w:w w:val="99"/>
              </w:rPr>
              <w:t>.......................................................................................................</w:t>
            </w:r>
          </w:p>
        </w:tc>
        <w:tc>
          <w:tcPr>
            <w:tcW w:w="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(4,507)</w:t>
            </w:r>
          </w:p>
        </w:tc>
        <w:tc>
          <w:tcPr>
            <w:tcW w:w="14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(4,455)</w:t>
            </w:r>
          </w:p>
        </w:tc>
        <w:tc>
          <w:tcPr>
            <w:tcW w:w="0" w:type="dxa"/>
            <w:vAlign w:val="bottom"/>
          </w:tcPr>
          <w:p>
            <w:pPr>
              <w:spacing w:after="0"/>
              <w:rPr>
                <w:sz w:val="1"/>
                <w:szCs w:val="1"/>
                <w:color w:val="auto"/>
              </w:rPr>
            </w:pPr>
          </w:p>
        </w:tc>
      </w:tr>
      <w:tr>
        <w:trPr>
          <w:trHeight w:val="216"/>
        </w:trPr>
        <w:tc>
          <w:tcPr>
            <w:tcW w:w="6660" w:type="dxa"/>
            <w:vAlign w:val="bottom"/>
          </w:tcPr>
          <w:p>
            <w:pPr>
              <w:jc w:val="right"/>
              <w:ind w:right="67"/>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Netloss</w:t>
            </w:r>
          </w:p>
        </w:tc>
        <w:tc>
          <w:tcPr>
            <w:tcW w:w="20" w:type="dxa"/>
            <w:vAlign w:val="bottom"/>
          </w:tcPr>
          <w:p>
            <w:pPr>
              <w:spacing w:after="0"/>
              <w:rPr>
                <w:sz w:val="18"/>
                <w:szCs w:val="18"/>
                <w:color w:val="auto"/>
              </w:rPr>
            </w:pPr>
          </w:p>
        </w:tc>
        <w:tc>
          <w:tcPr>
            <w:tcW w:w="22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1"/>
                <w:szCs w:val="11"/>
                <w:color w:val="231F20"/>
                <w:w w:val="71"/>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(266,759)</w:t>
            </w:r>
          </w:p>
        </w:tc>
        <w:tc>
          <w:tcPr>
            <w:tcW w:w="140" w:type="dxa"/>
            <w:vAlign w:val="bottom"/>
          </w:tcPr>
          <w:p>
            <w:pPr>
              <w:spacing w:after="0"/>
              <w:rPr>
                <w:sz w:val="18"/>
                <w:szCs w:val="18"/>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(283,255)</w:t>
            </w:r>
          </w:p>
        </w:tc>
        <w:tc>
          <w:tcPr>
            <w:tcW w:w="120" w:type="dxa"/>
            <w:vAlign w:val="bottom"/>
          </w:tcPr>
          <w:p>
            <w:pPr>
              <w:spacing w:after="0"/>
              <w:rPr>
                <w:sz w:val="18"/>
                <w:szCs w:val="18"/>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ind w:right="11"/>
              <w:spacing w:after="0"/>
              <w:rPr>
                <w:sz w:val="20"/>
                <w:szCs w:val="20"/>
                <w:color w:val="auto"/>
              </w:rPr>
            </w:pPr>
            <w:r>
              <w:rPr>
                <w:rFonts w:ascii="Times New Roman" w:cs="Times New Roman" w:eastAsia="Times New Roman" w:hAnsi="Times New Roman"/>
                <w:sz w:val="18"/>
                <w:szCs w:val="18"/>
                <w:color w:val="231F20"/>
              </w:rPr>
              <w:t>16,496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-1744345</wp:posOffset>
            </wp:positionV>
            <wp:extent cx="177673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extLst>
                    </a:blip>
                    <a:srcRect/>
                    <a:stretch>
                      <a:fillRect/>
                    </a:stretch>
                  </pic:blipFill>
                  <pic:spPr bwMode="auto">
                    <a:xfrm>
                      <a:off x="0" y="0"/>
                      <a:ext cx="1776730" cy="38100"/>
                    </a:xfrm>
                    <a:prstGeom prst="rect">
                      <a:avLst/>
                    </a:prstGeom>
                    <a:noFill/>
                  </pic:spPr>
                </pic:pic>
              </a:graphicData>
            </a:graphic>
          </wp:anchor>
        </w:drawing>
      </w: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the components of our research and development expenses for the periods presented: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52"/>
              <w:spacing w:after="0" w:line="169" w:lineRule="exact"/>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1"/>
        </w:trPr>
        <w:tc>
          <w:tcPr>
            <w:tcW w:w="6640" w:type="dxa"/>
            <w:vAlign w:val="bottom"/>
          </w:tcPr>
          <w:p>
            <w:pPr>
              <w:jc w:val="right"/>
              <w:ind w:right="69"/>
              <w:spacing w:after="0" w:line="221" w:lineRule="exact"/>
              <w:rPr>
                <w:sz w:val="20"/>
                <w:szCs w:val="20"/>
                <w:color w:val="auto"/>
              </w:rPr>
            </w:pPr>
            <w:r>
              <w:rPr>
                <w:rFonts w:ascii="Times New Roman" w:cs="Times New Roman" w:eastAsia="Times New Roman" w:hAnsi="Times New Roman"/>
                <w:sz w:val="18"/>
                <w:szCs w:val="18"/>
                <w:color w:val="231F20"/>
                <w:w w:val="99"/>
              </w:rPr>
              <w:t xml:space="preserve">Research and laboratory </w:t>
            </w:r>
            <w:r>
              <w:rPr>
                <w:rFonts w:ascii="Times New Roman" w:cs="Times New Roman" w:eastAsia="Times New Roman" w:hAnsi="Times New Roman"/>
                <w:sz w:val="20"/>
                <w:szCs w:val="20"/>
                <w:color w:val="231F20"/>
                <w:w w:val="99"/>
              </w:rPr>
              <w: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27,918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48,468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(20,550)</w:t>
            </w:r>
          </w:p>
        </w:tc>
      </w:tr>
      <w:tr>
        <w:trPr>
          <w:trHeight w:val="221"/>
        </w:trPr>
        <w:tc>
          <w:tcPr>
            <w:tcW w:w="6640" w:type="dxa"/>
            <w:vAlign w:val="bottom"/>
          </w:tcPr>
          <w:p>
            <w:pPr>
              <w:jc w:val="right"/>
              <w:ind w:right="69"/>
              <w:spacing w:after="0" w:line="221" w:lineRule="exact"/>
              <w:rPr>
                <w:sz w:val="20"/>
                <w:szCs w:val="20"/>
                <w:color w:val="auto"/>
              </w:rPr>
            </w:pPr>
            <w:r>
              <w:rPr>
                <w:rFonts w:ascii="Times New Roman" w:cs="Times New Roman" w:eastAsia="Times New Roman" w:hAnsi="Times New Roman"/>
                <w:sz w:val="18"/>
                <w:szCs w:val="18"/>
                <w:color w:val="231F20"/>
                <w:w w:val="99"/>
              </w:rPr>
              <w:t>Personnel</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86,796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106,929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(20,133)</w:t>
            </w:r>
          </w:p>
        </w:tc>
      </w:tr>
      <w:tr>
        <w:trPr>
          <w:trHeight w:val="221"/>
        </w:trPr>
        <w:tc>
          <w:tcPr>
            <w:tcW w:w="6640" w:type="dxa"/>
            <w:vAlign w:val="bottom"/>
          </w:tcPr>
          <w:p>
            <w:pPr>
              <w:jc w:val="right"/>
              <w:ind w:right="69"/>
              <w:spacing w:after="0" w:line="221" w:lineRule="exact"/>
              <w:rPr>
                <w:sz w:val="20"/>
                <w:szCs w:val="20"/>
                <w:color w:val="auto"/>
              </w:rPr>
            </w:pPr>
            <w:r>
              <w:rPr>
                <w:rFonts w:ascii="Times New Roman" w:cs="Times New Roman" w:eastAsia="Times New Roman" w:hAnsi="Times New Roman"/>
                <w:sz w:val="18"/>
                <w:szCs w:val="18"/>
                <w:color w:val="231F20"/>
                <w:w w:val="99"/>
              </w:rPr>
              <w:t xml:space="preserve">Third-party manufacturing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11,231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20,907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(9,676)</w:t>
            </w:r>
          </w:p>
        </w:tc>
      </w:tr>
      <w:tr>
        <w:trPr>
          <w:trHeight w:val="221"/>
        </w:trPr>
        <w:tc>
          <w:tcPr>
            <w:tcW w:w="6640" w:type="dxa"/>
            <w:vAlign w:val="bottom"/>
          </w:tcPr>
          <w:p>
            <w:pPr>
              <w:jc w:val="right"/>
              <w:ind w:right="69"/>
              <w:spacing w:after="0" w:line="221" w:lineRule="exact"/>
              <w:rPr>
                <w:sz w:val="20"/>
                <w:szCs w:val="20"/>
                <w:color w:val="auto"/>
              </w:rPr>
            </w:pPr>
            <w:r>
              <w:rPr>
                <w:rFonts w:ascii="Times New Roman" w:cs="Times New Roman" w:eastAsia="Times New Roman" w:hAnsi="Times New Roman"/>
                <w:sz w:val="18"/>
                <w:szCs w:val="18"/>
                <w:color w:val="231F20"/>
                <w:w w:val="99"/>
              </w:rPr>
              <w:t xml:space="preserve">Facility and other allocated costs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60,181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65,941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(5,760)</w:t>
            </w:r>
          </w:p>
        </w:tc>
      </w:tr>
      <w:tr>
        <w:trPr>
          <w:trHeight w:val="221"/>
        </w:trPr>
        <w:tc>
          <w:tcPr>
            <w:tcW w:w="6640" w:type="dxa"/>
            <w:vAlign w:val="bottom"/>
          </w:tcPr>
          <w:p>
            <w:pPr>
              <w:jc w:val="right"/>
              <w:ind w:right="69"/>
              <w:spacing w:after="0" w:line="221" w:lineRule="exact"/>
              <w:rPr>
                <w:sz w:val="20"/>
                <w:szCs w:val="20"/>
                <w:color w:val="auto"/>
              </w:rPr>
            </w:pPr>
            <w:r>
              <w:rPr>
                <w:rFonts w:ascii="Times New Roman" w:cs="Times New Roman" w:eastAsia="Times New Roman" w:hAnsi="Times New Roman"/>
                <w:sz w:val="18"/>
                <w:szCs w:val="18"/>
                <w:color w:val="231F20"/>
                <w:w w:val="99"/>
              </w:rPr>
              <w:t xml:space="preserve">Clinical development </w:t>
            </w:r>
            <w:r>
              <w:rPr>
                <w:rFonts w:ascii="Times New Roman" w:cs="Times New Roman" w:eastAsia="Times New Roman" w:hAnsi="Times New Roman"/>
                <w:sz w:val="20"/>
                <w:szCs w:val="20"/>
                <w:color w:val="231F20"/>
                <w:w w:val="99"/>
              </w:rPr>
              <w:t>..................................................................................................</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23,655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rPr>
              <w:t>11,862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231F20"/>
              </w:rPr>
              <w:t>11,793</w:t>
            </w:r>
          </w:p>
        </w:tc>
      </w:tr>
      <w:tr>
        <w:trPr>
          <w:trHeight w:val="245"/>
        </w:trPr>
        <w:tc>
          <w:tcPr>
            <w:tcW w:w="664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231F20"/>
                <w:w w:val="99"/>
              </w:rPr>
              <w:t>Other</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5,892</w:t>
            </w:r>
          </w:p>
        </w:tc>
        <w:tc>
          <w:tcPr>
            <w:tcW w:w="1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7,702</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(1,810)</w:t>
            </w:r>
          </w:p>
        </w:tc>
      </w:tr>
      <w:tr>
        <w:trPr>
          <w:trHeight w:val="216"/>
        </w:trPr>
        <w:tc>
          <w:tcPr>
            <w:tcW w:w="6640" w:type="dxa"/>
            <w:vAlign w:val="bottom"/>
          </w:tcPr>
          <w:p>
            <w:pPr>
              <w:jc w:val="right"/>
              <w:ind w:right="69"/>
              <w:spacing w:after="0" w:line="216"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Totalresearchanddevelopmentexpense</w:t>
            </w:r>
          </w:p>
        </w:tc>
        <w:tc>
          <w:tcPr>
            <w:tcW w:w="260" w:type="dxa"/>
            <w:vAlign w:val="bottom"/>
            <w:tcBorders>
              <w:bottom w:val="single" w:sz="8" w:color="231F20"/>
            </w:tcBorders>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215,673</w:t>
            </w:r>
          </w:p>
        </w:tc>
        <w:tc>
          <w:tcPr>
            <w:tcW w:w="120" w:type="dxa"/>
            <w:vAlign w:val="bottom"/>
          </w:tcPr>
          <w:p>
            <w:pPr>
              <w:spacing w:after="0"/>
              <w:rPr>
                <w:sz w:val="18"/>
                <w:szCs w:val="18"/>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8"/>
                <w:szCs w:val="18"/>
                <w:color w:val="231F20"/>
              </w:rPr>
              <w:t>261,809</w:t>
            </w:r>
          </w:p>
        </w:tc>
        <w:tc>
          <w:tcPr>
            <w:tcW w:w="120" w:type="dxa"/>
            <w:vAlign w:val="bottom"/>
          </w:tcPr>
          <w:p>
            <w:pPr>
              <w:spacing w:after="0"/>
              <w:rPr>
                <w:sz w:val="18"/>
                <w:szCs w:val="18"/>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(46,136)</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-1304290</wp:posOffset>
            </wp:positionV>
            <wp:extent cx="17926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1792605" cy="38100"/>
                    </a:xfrm>
                    <a:prstGeom prst="rect">
                      <a:avLst/>
                    </a:prstGeom>
                    <a:noFill/>
                  </pic:spPr>
                </pic:pic>
              </a:graphicData>
            </a:graphic>
          </wp:anchor>
        </w:drawing>
      </w:r>
    </w:p>
    <w:p>
      <w:pPr>
        <w:spacing w:after="0" w:line="277"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Research and development expenses were $215.7 million and $261.8 million for the years ended December 31, 2024 and 2023, respectively. The decrease of $46.1 million was primarily due to:</w:t>
      </w:r>
    </w:p>
    <w:p>
      <w:pPr>
        <w:spacing w:after="0" w:line="64" w:lineRule="exact"/>
        <w:rPr>
          <w:sz w:val="20"/>
          <w:szCs w:val="20"/>
          <w:color w:val="auto"/>
        </w:rPr>
      </w:pPr>
    </w:p>
    <w:p>
      <w:pPr>
        <w:ind w:left="980" w:right="940" w:hanging="490"/>
        <w:spacing w:after="0" w:line="276" w:lineRule="auto"/>
        <w:tabs>
          <w:tab w:leader="none" w:pos="980" w:val="left"/>
        </w:tabs>
        <w:numPr>
          <w:ilvl w:val="0"/>
          <w:numId w:val="77"/>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$20.6 million in research and laboratory expenses primarily due to reduced scope of research and development activities;</w:t>
      </w:r>
    </w:p>
    <w:p>
      <w:pPr>
        <w:spacing w:after="0" w:line="64"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77"/>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$20.1 million in personnel-related expenses due to reduced scope of research and development activities related to the portfolio prioritizations in the fourth quarters of 2024 and 2023;</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7"/>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$9.7 million in third-party manufacturing costs for CDMOs;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7"/>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of $5.8 million in facility and other allocated costs.</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These decreases were partially offset by an increase of $11.8 million in clinical development costs.</w:t>
      </w:r>
    </w:p>
    <w:p>
      <w:pPr>
        <w:spacing w:after="0" w:line="3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 related success payments and contingent consideration</w:t>
      </w:r>
    </w:p>
    <w:p>
      <w:pPr>
        <w:spacing w:after="0" w:line="118"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gains associated with research and development related success payments and contingent consideration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664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231F20"/>
              </w:rPr>
              <w:t>Change</w:t>
            </w:r>
          </w:p>
        </w:tc>
      </w:tr>
      <w:tr>
        <w:trPr>
          <w:trHeight w:val="213"/>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6640" w:type="dxa"/>
            <w:vAlign w:val="bottom"/>
          </w:tcPr>
          <w:p>
            <w:pPr>
              <w:jc w:val="right"/>
              <w:ind w:right="48"/>
              <w:spacing w:after="0" w:line="204" w:lineRule="exact"/>
              <w:rPr>
                <w:sz w:val="20"/>
                <w:szCs w:val="20"/>
                <w:color w:val="auto"/>
              </w:rPr>
            </w:pPr>
            <w:r>
              <w:rPr>
                <w:rFonts w:ascii="Times New Roman" w:cs="Times New Roman" w:eastAsia="Times New Roman" w:hAnsi="Times New Roman"/>
                <w:sz w:val="18"/>
                <w:szCs w:val="18"/>
                <w:color w:val="231F20"/>
                <w:w w:val="99"/>
              </w:rPr>
              <w:t xml:space="preserve">Cobalt success payment </w:t>
            </w:r>
            <w:r>
              <w:rPr>
                <w:rFonts w:ascii="Times New Roman" w:cs="Times New Roman" w:eastAsia="Times New Roman" w:hAnsi="Times New Roman"/>
                <w:sz w:val="20"/>
                <w:szCs w:val="20"/>
                <w:color w:val="231F20"/>
                <w:w w:val="99"/>
              </w:rPr>
              <w:t>...............................................................................................</w:t>
            </w: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(6,924)</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(7,856)</w:t>
            </w:r>
          </w:p>
        </w:tc>
        <w:tc>
          <w:tcPr>
            <w:tcW w:w="34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932</w:t>
            </w:r>
          </w:p>
        </w:tc>
      </w:tr>
      <w:tr>
        <w:trPr>
          <w:trHeight w:val="207"/>
        </w:trPr>
        <w:tc>
          <w:tcPr>
            <w:tcW w:w="6640" w:type="dxa"/>
            <w:vAlign w:val="bottom"/>
          </w:tcPr>
          <w:p>
            <w:pPr>
              <w:jc w:val="right"/>
              <w:ind w:right="48"/>
              <w:spacing w:after="0" w:line="207" w:lineRule="exact"/>
              <w:rPr>
                <w:sz w:val="20"/>
                <w:szCs w:val="20"/>
                <w:color w:val="auto"/>
              </w:rPr>
            </w:pPr>
            <w:r>
              <w:rPr>
                <w:rFonts w:ascii="Times New Roman" w:cs="Times New Roman" w:eastAsia="Times New Roman" w:hAnsi="Times New Roman"/>
                <w:sz w:val="18"/>
                <w:szCs w:val="18"/>
                <w:color w:val="231F20"/>
                <w:w w:val="99"/>
              </w:rPr>
              <w:t>Harvard success payments</w:t>
            </w:r>
            <w:r>
              <w:rPr>
                <w:rFonts w:ascii="Times New Roman" w:cs="Times New Roman" w:eastAsia="Times New Roman" w:hAnsi="Times New Roman"/>
                <w:sz w:val="20"/>
                <w:szCs w:val="20"/>
                <w:color w:val="231F20"/>
                <w:w w:val="99"/>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(967)</w:t>
            </w:r>
          </w:p>
        </w:tc>
      </w:tr>
      <w:tr>
        <w:trPr>
          <w:trHeight w:val="245"/>
        </w:trPr>
        <w:tc>
          <w:tcPr>
            <w:tcW w:w="66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231F20"/>
                <w:w w:val="99"/>
              </w:rPr>
              <w:t xml:space="preserve">Contingent consideration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(638)</w:t>
            </w:r>
          </w:p>
        </w:tc>
        <w:tc>
          <w:tcPr>
            <w:tcW w:w="1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(40,773)</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40,135</w:t>
            </w:r>
          </w:p>
        </w:tc>
      </w:tr>
      <w:tr>
        <w:trPr>
          <w:trHeight w:val="202"/>
        </w:trPr>
        <w:tc>
          <w:tcPr>
            <w:tcW w:w="6640" w:type="dxa"/>
            <w:vAlign w:val="bottom"/>
          </w:tcPr>
          <w:p>
            <w:pPr>
              <w:jc w:val="right"/>
              <w:ind w:right="48"/>
              <w:spacing w:after="0" w:line="20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8"/>
                <w:szCs w:val="18"/>
                <w:color w:val="231F20"/>
              </w:rPr>
              <w:t>Totalresearchanddevelopmentrelatedsuccesspaymentsandcontingentconsideration</w:t>
            </w:r>
          </w:p>
        </w:tc>
        <w:tc>
          <w:tcPr>
            <w:tcW w:w="260" w:type="dxa"/>
            <w:vAlign w:val="bottom"/>
            <w:tcBorders>
              <w:bottom w:val="single" w:sz="8" w:color="231F20"/>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rPr>
              <w:t>(8,881)</w:t>
            </w:r>
          </w:p>
        </w:tc>
        <w:tc>
          <w:tcPr>
            <w:tcW w:w="120" w:type="dxa"/>
            <w:vAlign w:val="bottom"/>
          </w:tcPr>
          <w:p>
            <w:pPr>
              <w:spacing w:after="0"/>
              <w:rPr>
                <w:sz w:val="17"/>
                <w:szCs w:val="17"/>
                <w:color w:val="auto"/>
              </w:rPr>
            </w:pPr>
          </w:p>
        </w:tc>
        <w:tc>
          <w:tcPr>
            <w:tcW w:w="10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rPr>
              <w:t>(48,981)</w:t>
            </w:r>
          </w:p>
        </w:tc>
        <w:tc>
          <w:tcPr>
            <w:tcW w:w="120" w:type="dxa"/>
            <w:vAlign w:val="bottom"/>
          </w:tcPr>
          <w:p>
            <w:pPr>
              <w:spacing w:after="0"/>
              <w:rPr>
                <w:sz w:val="17"/>
                <w:szCs w:val="17"/>
                <w:color w:val="auto"/>
              </w:rPr>
            </w:pPr>
          </w:p>
        </w:tc>
        <w:tc>
          <w:tcPr>
            <w:tcW w:w="220" w:type="dxa"/>
            <w:vAlign w:val="bottom"/>
            <w:tcBorders>
              <w:bottom w:val="single" w:sz="8" w:color="231F20"/>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18"/>
                <w:szCs w:val="18"/>
                <w:color w:val="231F20"/>
              </w:rPr>
              <w:t>40,100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-917575</wp:posOffset>
            </wp:positionV>
            <wp:extent cx="178435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1784350" cy="38100"/>
                    </a:xfrm>
                    <a:prstGeom prst="rect">
                      <a:avLst/>
                    </a:prstGeom>
                    <a:noFill/>
                  </pic:spPr>
                </pic:pic>
              </a:graphicData>
            </a:graphic>
          </wp:anchor>
        </w:drawing>
      </w:r>
    </w:p>
    <w:p>
      <w:pPr>
        <w:sectPr>
          <w:pgSz w:w="11880" w:h="15480" w:orient="portrait"/>
          <w:cols w:equalWidth="0" w:num="1">
            <w:col w:w="10800"/>
          </w:cols>
          <w:pgMar w:left="540" w:top="750" w:right="540"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142</w:t>
      </w:r>
    </w:p>
    <w:p>
      <w:pPr>
        <w:sectPr>
          <w:pgSz w:w="11880" w:h="15480" w:orient="portrait"/>
          <w:cols w:equalWidth="0" w:num="1">
            <w:col w:w="10800"/>
          </w:cols>
          <w:pgMar w:left="540" w:top="750" w:right="540" w:bottom="0" w:gutter="0" w:footer="0" w:header="0"/>
          <w:type w:val="continuous"/>
        </w:sectPr>
      </w:pPr>
    </w:p>
    <w:bookmarkStart w:id="148" w:name="page149"/>
    <w:bookmarkEnd w:id="148"/>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gains related to the change in the estimated fair value of our Cobalt Success Payment were $6.9 million and $7.9 million for the years ended December 31, 2024 and 2023, respectively. The changes in value were primarily due to changes in our market capitalization during the relevant periods, and for 2023, the reduction of our near-term investment in our fusogen program in connection with our portfolio prioritization in the fourth quarter of 2023. The gains related to the change in the estimated fair value of our Harvard Success Payments were $1.3 million and $0.3 million for the years ended December 31, 2024 and 2023, respectively. The changes in value were primarily due to changes in our common stock price during the relevant periods. The gains related to the change in the estimated fair value of our Cobalt Contingent Consideration were $0.6 million and $40.8 million for the years ended December 31, 2024 and 2023, respectively. The changes in value were primarily due to changes in the timing and probability of the achievement of milestones during the relevant periods and the discount rates used in the calculations.</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General and administrative expenses were $64.0 million and $73.3 million for the years ended December 31, 2024 and 2023, respectively. The decrease of $9.3 million was primarily due to a decrease in legal fees of $3.1 million, a loss on lease termination of $2.7 million associated with the Fremont facility recorded in 2023, a decrease in personnel costs of $2.6 million, a decrease in facility costs of $1.9 million, and a decrease in insurance and consulting fees of $1.1 million. These decreases were partially offset by an increase in non-cash stock-based compensation of $2.0 million.</w:t>
      </w: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1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Impairment of long- lived assets was $1.9 million and $ 7.0 million for the years ended December 31, 2024 and 2023, respectively. See Note 11, Impairment of long-lived assets to our consolidated financial statements included elsewhere in this Annual Report for details on the impairments.</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Interest income, net</w:t>
      </w:r>
    </w:p>
    <w:p>
      <w:pPr>
        <w:spacing w:after="0" w:line="11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Interest income, net, was $10.5 million and $9.9 million for the years ended December 31, 2024 and 2023, respectively, and consisted primarily of interest earned on our cash and marketable securities balances.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Other expense, net</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Other expense, net, was $4.5 million and immaterial for the years ended December 31, 2024 and 2023, respectively. The change in value of $4.5 million was due to other-than-temporary impairments of other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capital resources, and capital requirements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liquidity</w:t>
      </w:r>
    </w:p>
    <w:p>
      <w:pPr>
        <w:spacing w:after="0" w:line="120" w:lineRule="exact"/>
        <w:rPr>
          <w:sz w:val="20"/>
          <w:szCs w:val="20"/>
          <w:color w:val="auto"/>
        </w:rPr>
      </w:pPr>
    </w:p>
    <w:p>
      <w:pPr>
        <w:ind w:right="180" w:firstLine="490"/>
        <w:spacing w:after="0" w:line="305" w:lineRule="auto"/>
        <w:rPr>
          <w:sz w:val="20"/>
          <w:szCs w:val="20"/>
          <w:color w:val="auto"/>
        </w:rPr>
      </w:pPr>
      <w:r>
        <w:rPr>
          <w:rFonts w:ascii="Times New Roman" w:cs="Times New Roman" w:eastAsia="Times New Roman" w:hAnsi="Times New Roman"/>
          <w:sz w:val="19"/>
          <w:szCs w:val="19"/>
          <w:color w:val="231F20"/>
        </w:rPr>
        <w:t>As of December 31, 2025, we had $138.4 million in cash, cash equivalents, and marketable securities. Since inception through December 31, 2025, we have raised an aggregate of approximately $1.7 billion in net proceeds from sales of our equity securities.</w:t>
      </w:r>
    </w:p>
    <w:p>
      <w:pPr>
        <w:spacing w:after="0" w:line="145"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In March 2026, we entered into the Sales Agreement, pursuant to which we may offer and sell shares of our common stock from time to time under the ATM facility. The Sales Agreement amends and restates the Prior Sales Agreement. During the quarter and year ended December 31, 2025, we sold an aggregate of 3.9 million shares and 11.3 million shares of our common stock, respectively, under the Prior Sales Agreement, for net proceeds of approximately $17.0 million and $45.8 million, respectively, after deducting commissions and expenses.</w:t>
      </w:r>
    </w:p>
    <w:p>
      <w:pPr>
        <w:spacing w:after="0" w:line="19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In August 2025, we completed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spacing w:after="0" w:line="19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143</w:t>
      </w:r>
    </w:p>
    <w:p>
      <w:pPr>
        <w:sectPr>
          <w:pgSz w:w="11880" w:h="15480" w:orient="portrait"/>
          <w:cols w:equalWidth="0" w:num="1">
            <w:col w:w="10800"/>
          </w:cols>
          <w:pgMar w:left="540" w:top="750" w:right="54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funding requirements</w:t>
      </w:r>
    </w:p>
    <w:p>
      <w:pPr>
        <w:spacing w:after="0" w:line="12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We expect to incur additional losses for the foreseeable future as we conduct our research and development efforts, including conducting preclinical studies and clinical trials, developing new product candidates, continuing to establish our external manufacturing capabilities, and funding our operations generally. We are subject to the risks typically related to the development of new products, and we may encounter unforeseen expenses, difficulties, complications, delays, and other unknown factors that may adversely affect our business.</w:t>
      </w:r>
    </w:p>
    <w:p>
      <w:pPr>
        <w:spacing w:after="0" w:line="19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Management has determined that our present capital resources may not be sufficient to fund our planned operations for at least one year from the date of this Annual Report, and there is substantial doubt as to our ability to continue as a going concern. Our ability to continue as a going concern will depend on, among other things, our ability to obtain additional funding and appropriately manage the amount of cash used to fund our operations. </w:t>
      </w:r>
      <w:r>
        <w:rPr>
          <w:rFonts w:ascii="Times New Roman" w:cs="Times New Roman" w:eastAsia="Times New Roman" w:hAnsi="Times New Roman"/>
          <w:sz w:val="19"/>
          <w:szCs w:val="19"/>
          <w:color w:val="231F20"/>
        </w:rPr>
        <w:t>We plan to address this condition through equity or debt offerings or capital obtained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in connection with strategic collaborations or licensing or other arrangements. If we are unable to obtain such financing, we may be required to pursue alternative sources of capital which may not be available to us on favorable terms, significantly modify our operational plans by delaying, reducing the scope of, or ceasing some or all of our research and development programs, or pursue strategic alternatives.</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future capital requirements will depend on many factors, including:</w:t>
      </w:r>
    </w:p>
    <w:p>
      <w:pPr>
        <w:spacing w:after="0" w:line="134" w:lineRule="exact"/>
        <w:rPr>
          <w:sz w:val="20"/>
          <w:szCs w:val="20"/>
          <w:color w:val="auto"/>
        </w:rPr>
      </w:pPr>
    </w:p>
    <w:p>
      <w:pPr>
        <w:ind w:left="980" w:right="20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timing, progress, costs, and results of discovery, preclinical development, and clinical trials for our current or future product candidates, including the development of companion diagnostics to such product candidates;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scope of clinical trials required for regulatory approval of our current or future product candidates;</w:t>
      </w:r>
    </w:p>
    <w:p>
      <w:pPr>
        <w:spacing w:after="0" w:line="133" w:lineRule="exact"/>
        <w:rPr>
          <w:rFonts w:ascii="Arial" w:cs="Arial" w:eastAsia="Arial" w:hAnsi="Arial"/>
          <w:sz w:val="20"/>
          <w:szCs w:val="20"/>
          <w:color w:val="231F20"/>
        </w:rPr>
      </w:pPr>
    </w:p>
    <w:p>
      <w:pPr>
        <w:ind w:left="980" w:right="60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our current or future product candidates and any companion diagnostics to such product candidates;</w:t>
      </w:r>
    </w:p>
    <w:p>
      <w:pPr>
        <w:spacing w:after="0" w:line="64" w:lineRule="exact"/>
        <w:rPr>
          <w:rFonts w:ascii="Arial" w:cs="Arial" w:eastAsia="Arial" w:hAnsi="Arial"/>
          <w:sz w:val="20"/>
          <w:szCs w:val="20"/>
          <w:color w:val="231F20"/>
        </w:rPr>
      </w:pPr>
    </w:p>
    <w:p>
      <w:pPr>
        <w:ind w:left="980" w:right="54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timing, and scope of our manufacturing capabilities and our uses of our existing facilities, as well as costs associated with the manufacturing of clinical and commercial supplies of our current and future product candidates;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future commercialization activities, including manufacturing, marketing, sales, and distribution, for any of our product candidates for which we receive marketing approval;</w:t>
      </w:r>
    </w:p>
    <w:p>
      <w:pPr>
        <w:spacing w:after="0" w:line="64" w:lineRule="exact"/>
        <w:rPr>
          <w:rFonts w:ascii="Arial" w:cs="Arial" w:eastAsia="Arial" w:hAnsi="Arial"/>
          <w:sz w:val="20"/>
          <w:szCs w:val="20"/>
          <w:color w:val="231F20"/>
        </w:rPr>
      </w:pPr>
    </w:p>
    <w:p>
      <w:pPr>
        <w:jc w:val="both"/>
        <w:ind w:left="980" w:right="240" w:hanging="490"/>
        <w:spacing w:after="0" w:line="258"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Arial" w:cs="Arial" w:eastAsia="Arial" w:hAnsi="Arial"/>
          <w:sz w:val="20"/>
          <w:szCs w:val="20"/>
          <w:color w:val="231F20"/>
        </w:rPr>
      </w:pPr>
    </w:p>
    <w:p>
      <w:pPr>
        <w:ind w:left="980" w:right="480" w:hanging="490"/>
        <w:spacing w:after="0" w:line="258"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if any, received from commercial sales of our product candidates for which we receive marketing approval;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expenses required to attract, hire, and retain skilled personnel;</w:t>
      </w:r>
    </w:p>
    <w:p>
      <w:pPr>
        <w:spacing w:after="0" w:line="133"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global supply chain issues and changing rates of inflation on the costs of laboratory consumables, supplies, and equipment required for our ongoing operations;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operating as a public company;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effectively manage the amount of cash used in our operations;</w:t>
      </w:r>
    </w:p>
    <w:p>
      <w:pPr>
        <w:spacing w:after="0" w:line="133" w:lineRule="exact"/>
        <w:rPr>
          <w:rFonts w:ascii="Arial" w:cs="Arial" w:eastAsia="Arial" w:hAnsi="Arial"/>
          <w:sz w:val="20"/>
          <w:szCs w:val="20"/>
          <w:color w:val="231F20"/>
        </w:rPr>
      </w:pPr>
    </w:p>
    <w:p>
      <w:pPr>
        <w:ind w:left="980" w:right="1020" w:hanging="490"/>
        <w:spacing w:after="0" w:line="276" w:lineRule="auto"/>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 commercially viable pricing structure and obtain approval for coverage and adequate reimbursement from third-party, including government, payors;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interruptions or delays resulting from global geo-political, economic, and other factors beyond our control;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invest in businesses, products, and technologies.</w:t>
      </w:r>
    </w:p>
    <w:p>
      <w:pPr>
        <w:spacing w:after="0" w:line="23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Until such time, if ever, as we can generate significant revenue from product sales, we expect to finance our operations with our existing cash, cash equivalents, and marketable securities, proceeds from any future equity or debt financings, and milestone, royalty, and other payments received under any future licenses, collaborations, or other arrangements. In the event that additional financing is required, we may not be able to raise it on terms that are acceptable to us or at all. Our ability to raise additional financing may be adversely impacted by potential worsening global economic conditions and the recent disruptions to, and volatility in, the credit and</w:t>
      </w:r>
    </w:p>
    <w:p>
      <w:pPr>
        <w:sectPr>
          <w:pgSz w:w="11880" w:h="15480" w:orient="portrait"/>
          <w:cols w:equalWidth="0" w:num="1">
            <w:col w:w="10780"/>
          </w:cols>
          <w:pgMar w:left="540" w:top="750" w:right="560" w:bottom="0" w:gutter="0" w:footer="0" w:header="0"/>
        </w:sect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144</w:t>
      </w:r>
    </w:p>
    <w:p>
      <w:pPr>
        <w:sectPr>
          <w:pgSz w:w="11880" w:h="15480" w:orient="portrait"/>
          <w:cols w:equalWidth="0" w:num="1">
            <w:col w:w="10780"/>
          </w:cols>
          <w:pgMar w:left="540" w:top="750" w:right="560" w:bottom="0" w:gutter="0" w:footer="0" w:header="0"/>
          <w:type w:val="continuous"/>
        </w:sectPr>
      </w:pPr>
    </w:p>
    <w:bookmarkStart w:id="150" w:name="page151"/>
    <w:bookmarkEnd w:id="150"/>
    <w:p>
      <w:pPr>
        <w:ind w:right="20"/>
        <w:spacing w:after="0" w:line="243" w:lineRule="auto"/>
        <w:rPr>
          <w:sz w:val="20"/>
          <w:szCs w:val="20"/>
          <w:color w:val="auto"/>
        </w:rPr>
      </w:pPr>
      <w:r>
        <w:rPr>
          <w:rFonts w:ascii="Times New Roman" w:cs="Times New Roman" w:eastAsia="Times New Roman" w:hAnsi="Times New Roman"/>
          <w:sz w:val="20"/>
          <w:szCs w:val="20"/>
          <w:color w:val="231F20"/>
        </w:rPr>
        <w:t>financial markets in the United States and worldwide resulting from public health crises, the conflicts in Ukraine and the Middle East, or other regions, changes in inflation, interest rate uncertainty, disruptions in global trade caused by political tensions and conflicts between countries, and other factors creating market risk. Bank failures have also caused increased concerns about liquidity in the broader financial services industry, and our business, business partners, or industry as a whole may be adversely impacted in ways that we cannot predict at this time. If we raise additional funds through the issuance of equity or convertible debt securities, existing stockholders’ ownership interests will be diluted, and the terms of these securities may include liquidation or other preferences that adversely affect the rights of our stockholders.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funds through strategic collaborations or licensing or other arrangements, we may have to relinquish significant rights or grant licenses on terms that are not favorable to us. If we are unable to raise additional capital when desired, our business, results of operations, and financial condition would be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jc w:val="center"/>
              <w:ind w:left="827"/>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560" w:type="dxa"/>
            <w:vAlign w:val="bottom"/>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right"/>
              <w:ind w:right="427"/>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320" w:type="dxa"/>
            <w:vAlign w:val="bottom"/>
            <w:tcBorders>
              <w:bottom w:val="single" w:sz="8" w:color="231F20"/>
            </w:tcBorders>
          </w:tcPr>
          <w:p>
            <w:pPr>
              <w:jc w:val="center"/>
              <w:ind w:right="147"/>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20" w:type="dxa"/>
            <w:vAlign w:val="bottom"/>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344"/>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60" w:type="dxa"/>
            <w:vAlign w:val="bottom"/>
            <w:vMerge w:val="restart"/>
          </w:tcPr>
          <w:p>
            <w:pPr>
              <w:jc w:val="right"/>
              <w:ind w:right="3940"/>
              <w:spacing w:after="0"/>
              <w:rPr>
                <w:sz w:val="20"/>
                <w:szCs w:val="20"/>
                <w:color w:val="auto"/>
              </w:rPr>
            </w:pPr>
            <w:r>
              <w:rPr>
                <w:rFonts w:ascii="Times New Roman" w:cs="Times New Roman" w:eastAsia="Times New Roman" w:hAnsi="Times New Roman"/>
                <w:sz w:val="20"/>
                <w:szCs w:val="20"/>
                <w:color w:val="231F20"/>
                <w:w w:val="99"/>
              </w:rPr>
              <w:t>Net cash provided by (used in):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67"/>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Operating activities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(143,828)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(223,153)</w:t>
            </w:r>
          </w:p>
        </w:tc>
        <w:tc>
          <w:tcPr>
            <w:tcW w:w="12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(253,582)</w:t>
            </w:r>
          </w:p>
        </w:tc>
        <w:tc>
          <w:tcPr>
            <w:tcW w:w="0" w:type="dxa"/>
            <w:vAlign w:val="bottom"/>
          </w:tcPr>
          <w:p>
            <w:pPr>
              <w:spacing w:after="0"/>
              <w:rPr>
                <w:sz w:val="1"/>
                <w:szCs w:val="1"/>
                <w:color w:val="auto"/>
              </w:rPr>
            </w:pPr>
          </w:p>
        </w:tc>
      </w:tr>
      <w:tr>
        <w:trPr>
          <w:trHeight w:val="230"/>
        </w:trPr>
        <w:tc>
          <w:tcPr>
            <w:tcW w:w="65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Investing activities .............................................................................................</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17,453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172,012</w:t>
            </w:r>
          </w:p>
        </w:tc>
        <w:tc>
          <w:tcPr>
            <w:tcW w:w="0" w:type="dxa"/>
            <w:vAlign w:val="bottom"/>
          </w:tcPr>
          <w:p>
            <w:pPr>
              <w:spacing w:after="0"/>
              <w:rPr>
                <w:sz w:val="1"/>
                <w:szCs w:val="1"/>
                <w:color w:val="auto"/>
              </w:rPr>
            </w:pPr>
          </w:p>
        </w:tc>
      </w:tr>
      <w:tr>
        <w:trPr>
          <w:trHeight w:val="249"/>
        </w:trPr>
        <w:tc>
          <w:tcPr>
            <w:tcW w:w="65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Financing activities ............................................................................................</w:t>
            </w:r>
          </w:p>
        </w:tc>
        <w:tc>
          <w:tcPr>
            <w:tcW w:w="2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128,733</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199,749</w:t>
            </w:r>
          </w:p>
        </w:tc>
        <w:tc>
          <w:tcPr>
            <w:tcW w:w="1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31,646</w:t>
            </w:r>
          </w:p>
        </w:tc>
        <w:tc>
          <w:tcPr>
            <w:tcW w:w="0" w:type="dxa"/>
            <w:vAlign w:val="bottom"/>
          </w:tcPr>
          <w:p>
            <w:pPr>
              <w:spacing w:after="0"/>
              <w:rPr>
                <w:sz w:val="1"/>
                <w:szCs w:val="1"/>
                <w:color w:val="auto"/>
              </w:rPr>
            </w:pPr>
          </w:p>
        </w:tc>
      </w:tr>
      <w:tr>
        <w:trPr>
          <w:trHeight w:val="225"/>
        </w:trPr>
        <w:tc>
          <w:tcPr>
            <w:tcW w:w="65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rPr>
              <w:t>...............................Netdecreaseincash,cashequivalents,andrestrictedcash</w:t>
            </w:r>
          </w:p>
        </w:tc>
        <w:tc>
          <w:tcPr>
            <w:tcW w:w="260" w:type="dxa"/>
            <w:vAlign w:val="bottom"/>
            <w:tcBorders>
              <w:bottom w:val="single" w:sz="8" w:color="231F20"/>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(55,333)</w:t>
            </w:r>
          </w:p>
        </w:tc>
        <w:tc>
          <w:tcPr>
            <w:tcW w:w="140" w:type="dxa"/>
            <w:vAlign w:val="bottom"/>
          </w:tcPr>
          <w:p>
            <w:pPr>
              <w:spacing w:after="0"/>
              <w:rPr>
                <w:sz w:val="19"/>
                <w:szCs w:val="19"/>
                <w:color w:val="auto"/>
              </w:rPr>
            </w:pPr>
          </w:p>
        </w:tc>
        <w:tc>
          <w:tcPr>
            <w:tcW w:w="14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(5,951)</w:t>
            </w:r>
          </w:p>
        </w:tc>
        <w:tc>
          <w:tcPr>
            <w:tcW w:w="12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(49,924)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-1034415</wp:posOffset>
            </wp:positionV>
            <wp:extent cx="26797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2679700" cy="38100"/>
                    </a:xfrm>
                    <a:prstGeom prst="rect">
                      <a:avLst/>
                    </a:prstGeom>
                    <a:noFill/>
                  </pic:spPr>
                </pic:pic>
              </a:graphicData>
            </a:graphic>
          </wp:anchor>
        </w:drawing>
      </w: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During the year ended December 31, 2025, net cash used in operating activities was $143.8 million, consisting primarily of net loss of $ 244.2 million and the change in net operating assets and liabilities of $ 10.1 million, offset by non-cash charges of $110.5 million. The non-cash charges of $110.5 million consisted of $44.6 million for impairment of long-lived assets, non-cash stock-based compensation expense of $25.5 million, $14.7 million for the revaluation of our contingent consideration, $ 14.7 million for the revaluation of our success payment liabilities, and depreciation expense of $12.8 million, partially offset by other non-cash charges of $1.8 million.</w:t>
      </w:r>
    </w:p>
    <w:p>
      <w:pPr>
        <w:spacing w:after="0" w:line="20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During the year ended December 31, 2024, net cash used in operating activities was $223.2 million, consisting primarily of net loss of $ 266.8 million and the change in net operating assets and liabilities of $1.2 million, offset by non- cash charges of $44.8 million. The non-cash charges of $44.8 million consisted of non-cash stock-based compensation expense of $37.7 million, depreciation expense of $15.5 million, and $1.9 million for the impairment of certain laboratory equipment and leasehold improvements which were primarily related to the portfolio prioritization in the fourth quarter of 2024, offset by gains of $8.2 million and $0.6 million for revaluation of our success payment liabilities and contingent consideration, respectively, and other non-cash charges of $1.5 million.</w:t>
      </w:r>
    </w:p>
    <w:p>
      <w:pPr>
        <w:spacing w:after="0" w:line="20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During the year ended December 31, 2023, net cash used in operating activities was $253.6 million, consisting primarily of net loss of $ 283.3 million, offset by the change in net operating assets and liabilities of $18.6 million and non-cash charges of $11.1 million. The non-cash charges of $11.1 million consisted of non-cash stock-based compensation expense of $35.5 million, depreciation expense of $17.6 million, and $7.0 million for the impairment of certain laboratory equipment and leasehold improvements which were primarily related to the portfolio prioritization in the fourth quarter of 2023, partially offset by gains of $40.8 million and $8.2 million for revaluation of our success payment liabilities and contingent consideration, respectively.</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1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Cash used in investing activities was $40.2 million for the year ended December 31, 2025, and cash provided by investing activities was $17.5 million, and $172.0 million during the years ended December 31, 2024, and 2023, respectively. For the year ended December 31, 2025, this consisted of net purchases and maturities of marketable securities of $40.7 million, offset by net sales of property and equipment of $0.5 million. For the years ended December 31, 2024 and 2023, this consisted of net maturities of</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145</w:t>
      </w:r>
    </w:p>
    <w:p>
      <w:pPr>
        <w:sectPr>
          <w:pgSz w:w="11880" w:h="15480" w:orient="portrait"/>
          <w:cols w:equalWidth="0" w:num="1">
            <w:col w:w="10800"/>
          </w:cols>
          <w:pgMar w:left="540" w:top="750" w:right="540" w:bottom="0" w:gutter="0" w:footer="0" w:header="0"/>
          <w:type w:val="continuous"/>
        </w:sectPr>
      </w:pPr>
    </w:p>
    <w:bookmarkStart w:id="151" w:name="page152"/>
    <w:bookmarkEnd w:id="151"/>
    <w:p>
      <w:pPr>
        <w:ind w:right="360"/>
        <w:spacing w:after="0" w:line="277" w:lineRule="auto"/>
        <w:rPr>
          <w:sz w:val="20"/>
          <w:szCs w:val="20"/>
          <w:color w:val="auto"/>
        </w:rPr>
      </w:pPr>
      <w:r>
        <w:rPr>
          <w:rFonts w:ascii="Times New Roman" w:cs="Times New Roman" w:eastAsia="Times New Roman" w:hAnsi="Times New Roman"/>
          <w:sz w:val="20"/>
          <w:szCs w:val="20"/>
          <w:color w:val="231F20"/>
        </w:rPr>
        <w:t>marketable securities of $50.9 million and $192.0 million, respectively, offset by the purchase of property and equipment of $33.4 million and $20.0 million, respectively.</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11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2025, cash provided by financing activities was $128.7 million, consisting primarily of net proceeds from issuance of common stock of $126.4 million and $2.6 million in proceeds from our employee stock purchase program and the exercise of stock options, partially offset by net principal payments of $0.3 million from a loan to fund tenant improvements for the Bothell facility.</w:t>
      </w:r>
    </w:p>
    <w:p>
      <w:pPr>
        <w:spacing w:after="0" w:line="19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2024, cash provided by financing activities was $199.7 million, consisting primarily of net proceeds from issuance of common stock of $181.0 million, $11.0 million in proceeds from our employee stock purchase program and the exercise of stock options, and net proceeds of $7.7 million from a loan to fund tenant improvements for the Bothell facility.</w:t>
      </w:r>
    </w:p>
    <w:p>
      <w:pPr>
        <w:spacing w:after="0" w:line="18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2023, cash provided by financing activities was $ 31.6 million, consisting primarily of net proceeds from issuance of common stock of $27.0 million and $4.6 million in proceeds from our employee stock purchase program and the exercise of stock options.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our significant contractual obligations and commitments as of December 31, 2025: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Payments Due by Period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231F20"/>
              </w:rPr>
              <w:t>Less than 1 Year</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231F20"/>
              </w:rPr>
              <w:t>1 to 3 Years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3 to 5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More than 5 Years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159"/>
        </w:trPr>
        <w:tc>
          <w:tcPr>
            <w:tcW w:w="2480" w:type="dxa"/>
            <w:vAlign w:val="bottom"/>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1320" w:type="dxa"/>
            <w:vAlign w:val="bottom"/>
            <w:tcBorders>
              <w:top w:val="single" w:sz="8" w:color="231F20"/>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1240" w:type="dxa"/>
            <w:vAlign w:val="bottom"/>
            <w:tcBorders>
              <w:top w:val="single" w:sz="8" w:color="231F20"/>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1280" w:type="dxa"/>
            <w:vAlign w:val="bottom"/>
            <w:tcBorders>
              <w:top w:val="single" w:sz="8" w:color="231F20"/>
            </w:tcBorders>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260" w:type="dxa"/>
            <w:vAlign w:val="bottom"/>
          </w:tcPr>
          <w:p>
            <w:pPr>
              <w:spacing w:after="0"/>
              <w:rPr>
                <w:sz w:val="13"/>
                <w:szCs w:val="13"/>
                <w:color w:val="auto"/>
              </w:rPr>
            </w:pPr>
          </w:p>
        </w:tc>
        <w:tc>
          <w:tcPr>
            <w:tcW w:w="500" w:type="dxa"/>
            <w:vAlign w:val="bottom"/>
            <w:tcBorders>
              <w:top w:val="single" w:sz="8" w:color="231F20"/>
            </w:tcBorders>
          </w:tcPr>
          <w:p>
            <w:pPr>
              <w:spacing w:after="0"/>
              <w:rPr>
                <w:sz w:val="13"/>
                <w:szCs w:val="13"/>
                <w:color w:val="auto"/>
              </w:rPr>
            </w:pPr>
          </w:p>
        </w:tc>
        <w:tc>
          <w:tcPr>
            <w:tcW w:w="960" w:type="dxa"/>
            <w:vAlign w:val="bottom"/>
            <w:tcBorders>
              <w:top w:val="single" w:sz="8" w:color="231F20"/>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231F20"/>
            </w:tcBorders>
          </w:tcPr>
          <w:p>
            <w:pPr>
              <w:spacing w:after="0"/>
              <w:rPr>
                <w:sz w:val="13"/>
                <w:szCs w:val="13"/>
                <w:color w:val="auto"/>
              </w:rPr>
            </w:pPr>
          </w:p>
        </w:tc>
        <w:tc>
          <w:tcPr>
            <w:tcW w:w="1140" w:type="dxa"/>
            <w:vAlign w:val="bottom"/>
            <w:tcBorders>
              <w:top w:val="single" w:sz="8" w:color="231F20"/>
            </w:tcBorders>
          </w:tcPr>
          <w:p>
            <w:pPr>
              <w:spacing w:after="0"/>
              <w:rPr>
                <w:sz w:val="13"/>
                <w:szCs w:val="13"/>
                <w:color w:val="auto"/>
              </w:rPr>
            </w:pPr>
          </w:p>
        </w:tc>
      </w:tr>
      <w:tr>
        <w:trPr>
          <w:trHeight w:val="266"/>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lease obligations ..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22,473</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34,088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21,829</w:t>
            </w:r>
          </w:p>
        </w:tc>
        <w:tc>
          <w:tcPr>
            <w:tcW w:w="26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40,942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-422910</wp:posOffset>
            </wp:positionV>
            <wp:extent cx="5286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extLst>
                    </a:blip>
                    <a:srcRect/>
                    <a:stretch>
                      <a:fillRect/>
                    </a:stretch>
                  </pic:blipFill>
                  <pic:spPr bwMode="auto">
                    <a:xfrm>
                      <a:off x="0" y="0"/>
                      <a:ext cx="5286375" cy="38100"/>
                    </a:xfrm>
                    <a:prstGeom prst="rect">
                      <a:avLst/>
                    </a:prstGeom>
                    <a:noFill/>
                  </pic:spPr>
                </pic:pic>
              </a:graphicData>
            </a:graphic>
          </wp:anchor>
        </w:drawing>
      </w:r>
    </w:p>
    <w:p>
      <w:pPr>
        <w:spacing w:after="0" w:line="26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Other than as disclosed in the table above, the payment obligations under our license, collaboration, and acquisition agreements as of December 31, 2025 are contingent upon future events such as our achievement of specified development, regulatory, and commercial milestones or royalties on net product sales. See the section titled “Business—Key Intellectual Property Agreements” for more information about these payment obligations.</w:t>
      </w:r>
    </w:p>
    <w:p>
      <w:pPr>
        <w:spacing w:after="0" w:line="194"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231F20"/>
        </w:rPr>
        <w:t>We are also obligated to make a success payment to Cobalt of up to $500.0 million, payable in cash or stock, pursuant to the terms and conditions in the Cobalt acquisition agreement, and up to an aggregate of $175.0 million in success payments to Harvard, payable in cash. See the subsection below titled “—Critical accounting policies and significant judgments and estimates—Success payments” and Note 4, Acquisitions, and Note 5, License and collaboration agreements, to our consolidated financial statements located elsewhere in this Annual Report for more information on the success payments. As of December 31, 2025, the timing and likelihood of achieving the milestones and success payments and generating future product sales are uncertain, and therefore any related payments are not included in the table above.</w:t>
      </w:r>
    </w:p>
    <w:p>
      <w:pPr>
        <w:spacing w:after="0" w:line="20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We also enter into agreements in the normal course of business for sponsored research, preclinical studies, clinical trials, contract manufacturing, and other services and products for operating purposes, which are generally cancelable upon written notice. These obligations and commitments are not included in the table above.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2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31F20"/>
        </w:rPr>
        <w:t>Since our inception, we have not engaged in any off-balance sheet arrangements as defined under the rules and regulations of the SEC.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JOBS Act accounting election</w:t>
      </w:r>
    </w:p>
    <w:p>
      <w:pPr>
        <w:spacing w:after="0" w:line="117"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231F20"/>
        </w:rPr>
        <w:t>We are an “emerging growth company,” as defined in the Jumpstart Our Business Startups Act of 2012 (the JOBS Act). We will remain an emerging growth company until the earliest to occur of (1)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fair market value of our common stock held by non-affiliates exceeded $ 700.0 million as of the last business day of the second fiscal quarter of such year, or (4) the date on which we have issued more than $1.0 billion in non-convertible debt securities during the prior three-year period.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146</w:t>
      </w:r>
    </w:p>
    <w:p>
      <w:pPr>
        <w:sectPr>
          <w:pgSz w:w="11880" w:h="15480" w:orient="portrait"/>
          <w:cols w:equalWidth="0" w:num="1">
            <w:col w:w="10800"/>
          </w:cols>
          <w:pgMar w:left="540" w:top="750" w:right="540" w:bottom="0" w:gutter="0" w:footer="0" w:header="0"/>
          <w:type w:val="continuous"/>
        </w:sectPr>
      </w:pPr>
    </w:p>
    <w:bookmarkStart w:id="152" w:name="page153"/>
    <w:bookmarkEnd w:id="152"/>
    <w:p>
      <w:pPr>
        <w:ind w:firstLine="490"/>
        <w:spacing w:after="0" w:line="238" w:lineRule="auto"/>
        <w:rPr>
          <w:sz w:val="20"/>
          <w:szCs w:val="20"/>
          <w:color w:val="auto"/>
        </w:rPr>
      </w:pPr>
      <w:r>
        <w:rPr>
          <w:rFonts w:ascii="Times New Roman" w:cs="Times New Roman" w:eastAsia="Times New Roman" w:hAnsi="Times New Roman"/>
          <w:sz w:val="20"/>
          <w:szCs w:val="20"/>
          <w:color w:val="231F20"/>
        </w:rPr>
        <w:t>For so long as we remain an emerging growth company, we are permitted and intend to rely on certain exemptions from various public company reporting requirements, including not being required to have our independent registered public accounting firm provide an attestation report on our internal control over financial reporting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196" w:lineRule="exact"/>
        <w:rPr>
          <w:sz w:val="20"/>
          <w:szCs w:val="20"/>
          <w:color w:val="auto"/>
        </w:rPr>
      </w:pPr>
    </w:p>
    <w:p>
      <w:pPr>
        <w:ind w:right="280" w:firstLine="490"/>
        <w:spacing w:after="0" w:line="243" w:lineRule="auto"/>
        <w:rPr>
          <w:sz w:val="20"/>
          <w:szCs w:val="20"/>
          <w:color w:val="auto"/>
        </w:rPr>
      </w:pPr>
      <w:r>
        <w:rPr>
          <w:rFonts w:ascii="Times New Roman" w:cs="Times New Roman" w:eastAsia="Times New Roman" w:hAnsi="Times New Roman"/>
          <w:sz w:val="20"/>
          <w:szCs w:val="20"/>
          <w:color w:val="231F20"/>
        </w:rPr>
        <w:t>In addition, under the JOBS Act, emerging growth companies can delay adopting new or revised accounting standards issued after the enactment of the JOBS Act until such time as those standards apply to private companies. We have elected to use the extended transition period for any new or revised accounting standards during the period in which we remain an emerging growth company; however, we may adopt certain new or revised accounting standards early if the standard allows early adoption.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consolidated financial statements are prepared in accordance with generally accepted accounting principles in the United States. The preparation of these financial statements requires us to make estimates and assumptions that affect the amounts reported in the consolidated financial statements and accompanying notes.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more detail in the notes to our consolidated financial statements included elsewhere in this Annual Report. We believe the following accounting policies relate to the significant areas involving management’s judgments and estimates and are critical to understanding our historical and future performance.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record research and development expenses in the periods in which they are incurred. We accrue for research and development expenses based on the estimated services performed, but not yet invoiced, pursuant to contracts with clinical research organizations, CDMOs, research institutions, or other service providers that conduct and manage clinical trials and preclinical studies, manufacture our product candidates, and perform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0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To date, we have not experienced any material differences between accrued expenses and actual expenses incurred. However, the status and timing of actual services performed may vary from our estimates, resulting in adjustments to expense in future periods. Changes in these estimates that result in material changes to our accruals could materially affect our 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account for business combinations using the acquisition method of accounting, which requires the assets acquired, including in-process research and development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are recorded in research and development expense if it is determined that there is no alternative future use, and subsequent milestone payments are recorded in research and development expense when achieved.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assets and goodwill</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Accounting for business combinations requires us to make significant estimates and assumptions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Intangible assets are reviewed for impairment annually and upon the occurrence of triggering events or substantive changes in circumstances that could indicate a potential impairment.</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147</w:t>
      </w:r>
    </w:p>
    <w:p>
      <w:pPr>
        <w:sectPr>
          <w:pgSz w:w="11880" w:h="15480" w:orient="portrait"/>
          <w:cols w:equalWidth="0" w:num="1">
            <w:col w:w="10800"/>
          </w:cols>
          <w:pgMar w:left="540" w:top="743" w:right="540" w:bottom="0" w:gutter="0" w:footer="0" w:header="0"/>
          <w:type w:val="continuous"/>
        </w:sectPr>
      </w:pPr>
    </w:p>
    <w:bookmarkStart w:id="153" w:name="page154"/>
    <w:bookmarkEnd w:id="153"/>
    <w:p>
      <w:pPr>
        <w:ind w:right="60" w:firstLine="490"/>
        <w:spacing w:after="0" w:line="239" w:lineRule="auto"/>
        <w:rPr>
          <w:sz w:val="20"/>
          <w:szCs w:val="20"/>
          <w:color w:val="auto"/>
        </w:rPr>
      </w:pPr>
      <w:r>
        <w:rPr>
          <w:rFonts w:ascii="Times New Roman" w:cs="Times New Roman" w:eastAsia="Times New Roman" w:hAnsi="Times New Roman"/>
          <w:sz w:val="20"/>
          <w:szCs w:val="20"/>
          <w:color w:val="231F20"/>
        </w:rPr>
        <w:t>Goodwill represents the excess of the purchase price over the estimated fair value of the identifiable assets acquired and liabilities assumed in a business combination. We evaluate goodwill for impairment annually and upon the occurrence of triggering events or substantive changes in circumstances that could indicate a potential impairment. Our evaluation includes assessing qualitative factors or performing a quantitative analysis to determine whether it is more-likely-than-not that the fair value of net assets is below the carrying amounts.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11"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Contingent consideration obligations are estimated at fair value at the acquisition date of a business combination and at each subsequent balance sheet date, with changes in fair value recorded in research and development related success payments and contingent consideration. The fair value of contingent consideration is determined by calculating the probability-weighted estimated value of the milestone payments based on the assessment of the likelihood and estimated timing that the milestones would be achieved and applying the relevant discount rates. We use significant estimates and assumptions in determining the estimated contingent consideration and associated expense or gain at each balance sheet date. The valuation of contingent consideration uses assumptions we believe would be made by a market participant. In evaluating the fair value of contingent consideration, significant judgment is required to estimate the likelihood and timing that the milestones would be achieved. We assess these estimates on an ongoing basis as additional data impacting the assumptions become available. Contingent consideration may change significantly as development progresses and additional data is obtained, impacting our assumptions regarding probabilities of successful achievement of the related milestones used to estimate the fair value of the liability and the timing in which they are expected to be achieved. Accordingly, the use of different market assumptions and/or different valuation techniques could result in materially different fair value estimates.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Success payments</w:t>
      </w:r>
    </w:p>
    <w:p>
      <w:pPr>
        <w:spacing w:after="0" w:line="111"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231F20"/>
        </w:rPr>
        <w:t>The Cobalt Success Payment was recorded as a liability on the consolidated balance sheet at fair value on the acquisition date and is remeasured at each subsequent reporting period, with changes in fair value recognized in research and development related success payments and contingent consideration. For the Harvard Success Payments, both the initial value and subsequent changes in fair value are recorded in research and development related success payments and contingent consideration. To determine the estimated fair value of the success payment liabilities, we use a Monte Carlo simulation methodology which models the estimated fair value of the liability based on several key assumptions, including the estimated number and timing of valuation measurement dates on the basis of which payments may be triggered, term of the success payments, the risk-free interest rate, and expected volatility, which is estimated using peer company stocks for a period of time commensurate with the expected term assumption. Additionally, the computation of the estimated fair value of the Harvard Success Payments incorporates the per share fair market value of our common stock at the end of each reporting period, and the computation of the estimated fair value of the Cobalt Success Payment incorporates our market capitalization at the end of each reporting period. The assumptions used to calculate the fair value of the success payments are subject to a significant amount of judgment and a small change in the assumptions may have a relatively large change in the estimated liability and resulting expense or gain.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11"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We recognize compensation costs related to restricted stock awards, restricted stock units, and stock options granted to employees and non-employees based on the estimated fair value of the awards on the date of grant, and we recognize forfeitures as they occur. For restricted stock awards and restricted stock units, the fair value of our common stock is used to determine the resulting stock-based compensation expense. For stock options, we estimate the grant date fair value, and the resulting stock-based compensation expense, using the Black-Scholes option pricing model. The fair value of stock-based awards is recognized as an expense on a straight-line basis over the requisite service period, which is generally the vesting period.</w:t>
      </w:r>
    </w:p>
    <w:p>
      <w:pPr>
        <w:spacing w:after="0" w:line="196" w:lineRule="exact"/>
        <w:rPr>
          <w:sz w:val="20"/>
          <w:szCs w:val="20"/>
          <w:color w:val="auto"/>
        </w:rPr>
      </w:pPr>
    </w:p>
    <w:p>
      <w:pPr>
        <w:ind w:right="160" w:firstLine="490"/>
        <w:spacing w:after="0" w:line="268" w:lineRule="auto"/>
        <w:rPr>
          <w:sz w:val="20"/>
          <w:szCs w:val="20"/>
          <w:color w:val="auto"/>
        </w:rPr>
      </w:pPr>
      <w:r>
        <w:rPr>
          <w:rFonts w:ascii="Times New Roman" w:cs="Times New Roman" w:eastAsia="Times New Roman" w:hAnsi="Times New Roman"/>
          <w:sz w:val="20"/>
          <w:szCs w:val="20"/>
          <w:color w:val="231F20"/>
        </w:rPr>
        <w:t>The Black-Scholes option pricing model requires the use of highly subjective assumptions to determine the fair value of stock-based awards. These assumptions include:</w:t>
      </w:r>
    </w:p>
    <w:p>
      <w:pPr>
        <w:spacing w:after="0" w:line="62" w:lineRule="exact"/>
        <w:rPr>
          <w:sz w:val="20"/>
          <w:szCs w:val="20"/>
          <w:color w:val="auto"/>
        </w:rPr>
      </w:pPr>
    </w:p>
    <w:p>
      <w:pPr>
        <w:ind w:left="980" w:right="580" w:hanging="490"/>
        <w:spacing w:after="0" w:line="267" w:lineRule="auto"/>
        <w:tabs>
          <w:tab w:leader="none" w:pos="980" w:val="left"/>
        </w:tabs>
        <w:numPr>
          <w:ilvl w:val="0"/>
          <w:numId w:val="79"/>
        </w:numPr>
        <w:rPr>
          <w:rFonts w:ascii="Arial" w:cs="Arial" w:eastAsia="Arial" w:hAnsi="Arial"/>
          <w:sz w:val="20"/>
          <w:szCs w:val="20"/>
          <w:color w:val="231F20"/>
        </w:rPr>
      </w:pPr>
      <w:r>
        <w:rPr>
          <w:rFonts w:ascii="Times New Roman" w:cs="Times New Roman" w:eastAsia="Times New Roman" w:hAnsi="Times New Roman"/>
          <w:sz w:val="20"/>
          <w:szCs w:val="20"/>
          <w:color w:val="231F20"/>
        </w:rPr>
        <w:t>Fair Value of Common Stock—The fair value of our common stock is based on the closing price as reported on the Nasdaq Global Select Market on the date of grant.</w:t>
      </w:r>
    </w:p>
    <w:p>
      <w:pPr>
        <w:spacing w:after="0" w:line="63" w:lineRule="exact"/>
        <w:rPr>
          <w:rFonts w:ascii="Arial" w:cs="Arial" w:eastAsia="Arial" w:hAnsi="Arial"/>
          <w:sz w:val="20"/>
          <w:szCs w:val="20"/>
          <w:color w:val="231F20"/>
        </w:rPr>
      </w:pPr>
    </w:p>
    <w:p>
      <w:pPr>
        <w:ind w:left="980" w:right="80" w:hanging="490"/>
        <w:spacing w:after="0" w:line="249" w:lineRule="auto"/>
        <w:tabs>
          <w:tab w:leader="none" w:pos="980" w:val="left"/>
        </w:tabs>
        <w:numPr>
          <w:ilvl w:val="0"/>
          <w:numId w:val="79"/>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80" w:lineRule="exact"/>
        <w:rPr>
          <w:rFonts w:ascii="Arial" w:cs="Arial" w:eastAsia="Arial" w:hAnsi="Arial"/>
          <w:sz w:val="20"/>
          <w:szCs w:val="20"/>
          <w:color w:val="231F20"/>
        </w:rPr>
      </w:pPr>
    </w:p>
    <w:p>
      <w:pPr>
        <w:ind w:left="980" w:right="200" w:hanging="490"/>
        <w:spacing w:after="0" w:line="238" w:lineRule="auto"/>
        <w:tabs>
          <w:tab w:leader="none" w:pos="980" w:val="left"/>
        </w:tabs>
        <w:numPr>
          <w:ilvl w:val="0"/>
          <w:numId w:val="79"/>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Volatility—Due to our limited operating history, the expected volatility is estimated based on the average historical volatilities of common stock of comparable publicly traded companies and our historical common stock volatility over a period of time commensurate with the expected term of the stock option grants. The comparable companies are chosen based on their size, stage in the product development cycle, or area of specialty. We will continue to apply this process until sufficient historical information regarding the volatility of our own stock price becomes available.</w:t>
      </w:r>
    </w:p>
    <w:p>
      <w:pPr>
        <w:sectPr>
          <w:pgSz w:w="11880" w:h="15480" w:orient="portrait"/>
          <w:cols w:equalWidth="0" w:num="1">
            <w:col w:w="10800"/>
          </w:cols>
          <w:pgMar w:left="540" w:top="743" w:right="54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148</w:t>
      </w:r>
    </w:p>
    <w:p>
      <w:pPr>
        <w:sectPr>
          <w:pgSz w:w="11880" w:h="15480" w:orient="portrait"/>
          <w:cols w:equalWidth="0" w:num="1">
            <w:col w:w="10800"/>
          </w:cols>
          <w:pgMar w:left="540" w:top="743" w:right="540" w:bottom="0" w:gutter="0" w:footer="0" w:header="0"/>
          <w:type w:val="continuous"/>
        </w:sectPr>
      </w:pPr>
    </w:p>
    <w:bookmarkStart w:id="154" w:name="page155"/>
    <w:bookmarkEnd w:id="154"/>
    <w:p>
      <w:pPr>
        <w:ind w:left="980" w:right="320" w:hanging="490"/>
        <w:spacing w:after="0" w:line="276" w:lineRule="auto"/>
        <w:tabs>
          <w:tab w:leader="none" w:pos="980" w:val="left"/>
        </w:tabs>
        <w:numPr>
          <w:ilvl w:val="0"/>
          <w:numId w:val="80"/>
        </w:numPr>
        <w:rPr>
          <w:rFonts w:ascii="Arial" w:cs="Arial" w:eastAsia="Arial" w:hAnsi="Arial"/>
          <w:sz w:val="20"/>
          <w:szCs w:val="20"/>
          <w:color w:val="231F20"/>
        </w:rPr>
      </w:pPr>
      <w:r>
        <w:rPr>
          <w:rFonts w:ascii="Times New Roman" w:cs="Times New Roman" w:eastAsia="Times New Roman" w:hAnsi="Times New Roman"/>
          <w:sz w:val="20"/>
          <w:szCs w:val="20"/>
          <w:color w:val="231F20"/>
        </w:rPr>
        <w:t>Risk-Free Interest Rate—The risk-free interest rate is based on the U.S. Treasury yield in effect at the time of grant for zero-coupon U.S. Treasury notes with maturities approximately equal to the expected term of the awards.</w:t>
      </w:r>
    </w:p>
    <w:p>
      <w:pPr>
        <w:spacing w:after="0" w:line="64"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80"/>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Dividend—We have never paid dividends on our common stock and have no plans to pay dividends on our common stock. Therefore, we used an expected dividend yield of zero.</w:t>
      </w:r>
    </w:p>
    <w:p>
      <w:pPr>
        <w:spacing w:after="0" w:line="17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See Note 13, Stock-based compensation to our consolidated financial statements included elsewhere in this Annual Report for information concerning certain specific assumptions we used in applying the Black-Scholes option pricing model to determine the estimated fair value of our stock options granted in the years ended December 31, 2025, 2024, and 2023. Such assumptions involve inherent uncertainties and the application of significant judgment. As a result, if factors or expected outcomes change or we use significantly different assumptions or estimates, our stock-based compensation could be materially different.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Recently adopted and recent accounting pronouncements</w:t>
      </w:r>
    </w:p>
    <w:p>
      <w:pPr>
        <w:spacing w:after="0" w:line="124" w:lineRule="exact"/>
        <w:rPr>
          <w:sz w:val="20"/>
          <w:szCs w:val="20"/>
          <w:color w:val="auto"/>
        </w:rPr>
      </w:pPr>
    </w:p>
    <w:p>
      <w:pPr>
        <w:jc w:val="both"/>
        <w:ind w:right="480" w:firstLine="490"/>
        <w:spacing w:after="0" w:line="258" w:lineRule="auto"/>
        <w:rPr>
          <w:sz w:val="20"/>
          <w:szCs w:val="20"/>
          <w:color w:val="auto"/>
        </w:rPr>
      </w:pPr>
      <w:r>
        <w:rPr>
          <w:rFonts w:ascii="Times New Roman" w:cs="Times New Roman" w:eastAsia="Times New Roman" w:hAnsi="Times New Roman"/>
          <w:sz w:val="20"/>
          <w:szCs w:val="20"/>
          <w:color w:val="231F20"/>
        </w:rPr>
        <w:t>See Note 2, Summary of significant accounting policies to our consolidated financial statements included elsewhere in this Annual Report for information about recent accounting pronouncements, the timing of their adoption, and our assessment, to the extent we have made one, of their potential impact on our financial condition or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We are exposed to market risks in the ordinary course of our business primarily related to interest rate sensitivities and the volatility of our common stock price.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As of December 31, 2025, we had cash, cash equivalents, and restricted cash of $76.1 million, which consisted of bank deposits and money market funds, and also had marketable securities of $66.5 million. The primary objective of our investment activities is to preserve capital to fund our operations while earning a low-risk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As of December 31, 2025, we had no debt outstanding that is subject to interest rate variability.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capitalization and common stock price sensitivity</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231F20"/>
        </w:rPr>
        <w:t>We agreed to make a success payment to Cobalt based on our market capitalization payable in cash or stock, and success payments to Harvard based on increases in the per share fair market value of our common stock, payable in cash.</w:t>
      </w:r>
    </w:p>
    <w:p>
      <w:pPr>
        <w:spacing w:after="0" w:line="16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estimated aggregate fair value of the success payment liabilities was $19.2 million. For the twelve months ended December 31, 2025, we recorded an expense of $14.7 million related to the aggregate change in the estimated fair value of our success payment liabilities.</w:t>
      </w:r>
    </w:p>
    <w:p>
      <w:pPr>
        <w:spacing w:after="0" w:line="18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231F20"/>
        </w:rPr>
        <w:t>Changes in our market capitalization and the fair value of our common stock as of each balance date may have a relatively large change in the estimated valuation of the success payment liabilities and resulting expense or gain. For example, for the Cobalt Success Payment, keeping all other variables constant, a hypothetical 20% increase in our market capitalization as of December 31, 2025 from $1.1 billion to $ 1.3 billion would have increased the expense recorded in the three months ended December 31, 2025 by $4.7 million to $9.8 million. A hypothetical 20% decrease in our market capitalization from $1.1 billion to $0.9 billion would have decreased the expense recorded in the three months ended December 31, 2025 by $4.4 million to $0.7 million. For the Harvard Success Payments, keeping all other variables constant, a hypothetical 20% increase in our common stock price as of December 31, 2025 from $4.07 per share to $4.88 per share would have increased the expense recorded in the three months ended December 31, 2025 by $0.5 million to $0.9 million. A hypothetical 20% decrease in the common stock price from $4.07 per share to $ 3.26 per share would have decreased the expense recorded in the three months ended December 31, 2025 by $0.5 million to a gain of $0.1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 sensitivity</w:t>
      </w:r>
    </w:p>
    <w:p>
      <w:pPr>
        <w:spacing w:after="0" w:line="120" w:lineRule="exact"/>
        <w:rPr>
          <w:sz w:val="20"/>
          <w:szCs w:val="20"/>
          <w:color w:val="auto"/>
        </w:rPr>
      </w:pPr>
    </w:p>
    <w:p>
      <w:pPr>
        <w:ind w:right="100" w:firstLine="547"/>
        <w:spacing w:after="0" w:line="252" w:lineRule="auto"/>
        <w:rPr>
          <w:sz w:val="20"/>
          <w:szCs w:val="20"/>
          <w:color w:val="auto"/>
        </w:rPr>
      </w:pPr>
      <w:r>
        <w:rPr>
          <w:rFonts w:ascii="Times New Roman" w:cs="Times New Roman" w:eastAsia="Times New Roman" w:hAnsi="Times New Roman"/>
          <w:sz w:val="20"/>
          <w:szCs w:val="20"/>
          <w:color w:val="231F20"/>
        </w:rPr>
        <w:t>We are not currently exposed to significant market risk related to changes in foreign currency exchange rates; however, we do contract with vendors that are located outside of the United States and may be subject to fluctuations in foreign currency rates. We do not believe we will experience material impacts from such foreign currency sensitivity. We may enter into additional contracts with vendors located outside of the United States in the future, which may increase our foreign currency exchange risk.</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149</w:t>
      </w:r>
    </w:p>
    <w:p>
      <w:pPr>
        <w:sectPr>
          <w:pgSz w:w="11880" w:h="15480" w:orient="portrait"/>
          <w:cols w:equalWidth="0" w:num="1">
            <w:col w:w="10800"/>
          </w:cols>
          <w:pgMar w:left="540" w:top="764" w:right="54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i w:val="1"/>
          <w:iCs w:val="1"/>
          <w:color w:val="231F20"/>
        </w:rPr>
        <w:t>Effects of inflation</w:t>
      </w:r>
    </w:p>
    <w:p>
      <w:pPr>
        <w:spacing w:after="0" w:line="120" w:lineRule="exact"/>
        <w:rPr>
          <w:sz w:val="20"/>
          <w:szCs w:val="20"/>
          <w:color w:val="auto"/>
        </w:rPr>
      </w:pPr>
    </w:p>
    <w:p>
      <w:pPr>
        <w:ind w:firstLine="547"/>
        <w:spacing w:after="0" w:line="277" w:lineRule="auto"/>
        <w:rPr>
          <w:sz w:val="20"/>
          <w:szCs w:val="20"/>
          <w:color w:val="auto"/>
        </w:rPr>
      </w:pPr>
      <w:r>
        <w:rPr>
          <w:rFonts w:ascii="Times New Roman" w:cs="Times New Roman" w:eastAsia="Times New Roman" w:hAnsi="Times New Roman"/>
          <w:sz w:val="20"/>
          <w:szCs w:val="20"/>
          <w:color w:val="231F20"/>
        </w:rPr>
        <w:t>Inflation generally affects us by increasing our cost of labor and laboratory consumables. We believe that inflation has not had a material effect on our financial statements.</w:t>
      </w:r>
    </w:p>
    <w:p>
      <w:pPr>
        <w:sectPr>
          <w:pgSz w:w="11880" w:h="15480" w:orient="portrait"/>
          <w:cols w:equalWidth="0" w:num="1">
            <w:col w:w="10680"/>
          </w:cols>
          <w:pgMar w:left="540" w:top="75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231F20"/>
        </w:rPr>
        <w:t>150</w:t>
      </w:r>
    </w:p>
    <w:p>
      <w:pPr>
        <w:sectPr>
          <w:pgSz w:w="11880" w:h="15480" w:orient="portrait"/>
          <w:cols w:equalWidth="0" w:num="1">
            <w:col w:w="10680"/>
          </w:cols>
          <w:pgMar w:left="540" w:top="750" w:right="6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2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386"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Report of Independent Registered Public Accounting Firm .(PCAOB ID:42)</w:t>
      </w:r>
      <w:r>
        <w:rPr>
          <w:sz w:val="20"/>
          <w:szCs w:val="20"/>
          <w:color w:val="auto"/>
        </w:rPr>
        <w:tab/>
      </w:r>
      <w:r>
        <w:rPr>
          <w:rFonts w:ascii="Times New Roman" w:cs="Times New Roman" w:eastAsia="Times New Roman" w:hAnsi="Times New Roman"/>
          <w:sz w:val="20"/>
          <w:szCs w:val="20"/>
          <w:color w:val="231F20"/>
        </w:rPr>
        <w:t>152</w:t>
      </w:r>
    </w:p>
    <w:p>
      <w:pPr>
        <w:spacing w:after="0" w:line="36"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Consolidated Balance Sheets</w:t>
      </w:r>
      <w:r>
        <w:rPr>
          <w:sz w:val="20"/>
          <w:szCs w:val="20"/>
          <w:color w:val="auto"/>
        </w:rPr>
        <w:tab/>
      </w:r>
      <w:r>
        <w:rPr>
          <w:rFonts w:ascii="Times New Roman" w:cs="Times New Roman" w:eastAsia="Times New Roman" w:hAnsi="Times New Roman"/>
          <w:sz w:val="20"/>
          <w:szCs w:val="20"/>
          <w:color w:val="231F20"/>
        </w:rPr>
        <w:t>153</w:t>
      </w:r>
    </w:p>
    <w:p>
      <w:pPr>
        <w:spacing w:after="0" w:line="20"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Consolidated Statements of Operations</w:t>
      </w:r>
      <w:r>
        <w:rPr>
          <w:sz w:val="20"/>
          <w:szCs w:val="20"/>
          <w:color w:val="auto"/>
        </w:rPr>
        <w:tab/>
      </w:r>
      <w:r>
        <w:rPr>
          <w:rFonts w:ascii="Times New Roman" w:cs="Times New Roman" w:eastAsia="Times New Roman" w:hAnsi="Times New Roman"/>
          <w:sz w:val="20"/>
          <w:szCs w:val="20"/>
          <w:color w:val="231F20"/>
        </w:rPr>
        <w:t>154</w:t>
      </w:r>
    </w:p>
    <w:p>
      <w:pPr>
        <w:spacing w:after="0" w:line="20"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Consolidated Statements of Comprehensive Loss</w:t>
      </w:r>
      <w:r>
        <w:rPr>
          <w:sz w:val="20"/>
          <w:szCs w:val="20"/>
          <w:color w:val="auto"/>
        </w:rPr>
        <w:tab/>
      </w:r>
      <w:r>
        <w:rPr>
          <w:rFonts w:ascii="Times New Roman" w:cs="Times New Roman" w:eastAsia="Times New Roman" w:hAnsi="Times New Roman"/>
          <w:sz w:val="20"/>
          <w:szCs w:val="20"/>
          <w:color w:val="231F20"/>
        </w:rPr>
        <w:t>155</w:t>
      </w:r>
    </w:p>
    <w:p>
      <w:pPr>
        <w:spacing w:after="0" w:line="20"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Consolidated Statements of Stockholders’ Equity</w:t>
      </w:r>
      <w:r>
        <w:rPr>
          <w:sz w:val="20"/>
          <w:szCs w:val="20"/>
          <w:color w:val="auto"/>
        </w:rPr>
        <w:tab/>
      </w:r>
      <w:r>
        <w:rPr>
          <w:rFonts w:ascii="Times New Roman" w:cs="Times New Roman" w:eastAsia="Times New Roman" w:hAnsi="Times New Roman"/>
          <w:sz w:val="20"/>
          <w:szCs w:val="20"/>
          <w:color w:val="231F20"/>
        </w:rPr>
        <w:t>156</w:t>
      </w:r>
    </w:p>
    <w:p>
      <w:pPr>
        <w:spacing w:after="0" w:line="20"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Consolidated Statements of Cash Flows</w:t>
      </w:r>
      <w:r>
        <w:rPr>
          <w:sz w:val="20"/>
          <w:szCs w:val="20"/>
          <w:color w:val="auto"/>
        </w:rPr>
        <w:tab/>
      </w:r>
      <w:r>
        <w:rPr>
          <w:rFonts w:ascii="Times New Roman" w:cs="Times New Roman" w:eastAsia="Times New Roman" w:hAnsi="Times New Roman"/>
          <w:sz w:val="20"/>
          <w:szCs w:val="20"/>
          <w:color w:val="231F20"/>
        </w:rPr>
        <w:t>157</w:t>
      </w:r>
    </w:p>
    <w:p>
      <w:pPr>
        <w:spacing w:after="0" w:line="20" w:lineRule="exact"/>
        <w:rPr>
          <w:sz w:val="20"/>
          <w:szCs w:val="20"/>
          <w:color w:val="auto"/>
        </w:rPr>
      </w:pPr>
    </w:p>
    <w:p>
      <w:pPr>
        <w:spacing w:after="0"/>
        <w:tabs>
          <w:tab w:leader="dot" w:pos="10480" w:val="left"/>
        </w:tabs>
        <w:rPr>
          <w:sz w:val="20"/>
          <w:szCs w:val="20"/>
          <w:color w:val="auto"/>
        </w:rPr>
      </w:pPr>
      <w:r>
        <w:rPr>
          <w:rFonts w:ascii="Times New Roman" w:cs="Times New Roman" w:eastAsia="Times New Roman" w:hAnsi="Times New Roman"/>
          <w:sz w:val="20"/>
          <w:szCs w:val="20"/>
          <w:color w:val="231F20"/>
        </w:rPr>
        <w:t>Notes to Consolidated Financial Statements</w:t>
      </w:r>
      <w:r>
        <w:rPr>
          <w:sz w:val="20"/>
          <w:szCs w:val="20"/>
          <w:color w:val="auto"/>
        </w:rPr>
        <w:tab/>
      </w:r>
      <w:r>
        <w:rPr>
          <w:rFonts w:ascii="Times New Roman" w:cs="Times New Roman" w:eastAsia="Times New Roman" w:hAnsi="Times New Roman"/>
          <w:sz w:val="20"/>
          <w:szCs w:val="20"/>
          <w:color w:val="231F20"/>
        </w:rPr>
        <w:t>158</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151</w:t>
      </w:r>
    </w:p>
    <w:p>
      <w:pPr>
        <w:sectPr>
          <w:pgSz w:w="11880" w:h="15480" w:orient="portrait"/>
          <w:cols w:equalWidth="0" w:num="1">
            <w:col w:w="10800"/>
          </w:cols>
          <w:pgMar w:left="540" w:top="746" w:right="540" w:bottom="0" w:gutter="0" w:footer="0" w:header="0"/>
          <w:type w:val="continuous"/>
        </w:sectPr>
      </w:pPr>
    </w:p>
    <w:bookmarkStart w:id="157" w:name="page158"/>
    <w:bookmarkEnd w:id="157"/>
    <w:p>
      <w:pPr>
        <w:ind w:right="2880" w:firstLine="2895"/>
        <w:spacing w:after="0" w:line="398" w:lineRule="auto"/>
        <w:rPr>
          <w:sz w:val="20"/>
          <w:szCs w:val="20"/>
          <w:color w:val="auto"/>
        </w:rPr>
      </w:pPr>
      <w:r>
        <w:rPr>
          <w:rFonts w:ascii="Times New Roman" w:cs="Times New Roman" w:eastAsia="Times New Roman" w:hAnsi="Times New Roman"/>
          <w:sz w:val="20"/>
          <w:szCs w:val="20"/>
          <w:b w:val="1"/>
          <w:bCs w:val="1"/>
          <w:color w:val="231F20"/>
        </w:rPr>
        <w:t xml:space="preserve">Report of Independent Registered Public Accounting Firm </w:t>
      </w:r>
      <w:r>
        <w:rPr>
          <w:rFonts w:ascii="Times New Roman" w:cs="Times New Roman" w:eastAsia="Times New Roman" w:hAnsi="Times New Roman"/>
          <w:sz w:val="20"/>
          <w:szCs w:val="20"/>
          <w:color w:val="231F20"/>
        </w:rPr>
        <w:t>To the Stockholders and the Board of Directors of Sana Biotechnology, Inc.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23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Sana Biotechnology, Inc.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Company's Ability to Continue as a Going Concern</w:t>
      </w:r>
    </w:p>
    <w:p>
      <w:pPr>
        <w:spacing w:after="0" w:line="23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The accompanying consolidated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23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Seattle, Washington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324"/>
        </w:rPr>
        <w:t>March 3, 2026</w:t>
      </w:r>
    </w:p>
    <w:p>
      <w:pPr>
        <w:sectPr>
          <w:pgSz w:w="11880" w:h="15480" w:orient="portrait"/>
          <w:cols w:equalWidth="0" w:num="1">
            <w:col w:w="10780"/>
          </w:cols>
          <w:pgMar w:left="540" w:top="77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152</w:t>
      </w:r>
    </w:p>
    <w:p>
      <w:pPr>
        <w:sectPr>
          <w:pgSz w:w="11880" w:h="15480" w:orient="portrait"/>
          <w:cols w:equalWidth="0" w:num="1">
            <w:col w:w="10780"/>
          </w:cols>
          <w:pgMar w:left="540" w:top="774" w:right="560" w:bottom="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64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4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62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0" w:type="dxa"/>
            <w:vAlign w:val="bottom"/>
          </w:tcPr>
          <w:p>
            <w:pPr>
              <w:spacing w:after="0"/>
              <w:rPr>
                <w:sz w:val="1"/>
                <w:szCs w:val="1"/>
                <w:color w:val="auto"/>
              </w:rPr>
            </w:pPr>
          </w:p>
        </w:tc>
      </w:tr>
      <w:tr>
        <w:trPr>
          <w:trHeight w:val="432"/>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Cash and cash equivalents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71,870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127,566</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Marketable securities.....................................................................................................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66,512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24,931</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Restricted cash...............................................................................................................</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4,195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3,832</w:t>
            </w:r>
          </w:p>
        </w:tc>
        <w:tc>
          <w:tcPr>
            <w:tcW w:w="0" w:type="dxa"/>
            <w:vAlign w:val="bottom"/>
          </w:tcPr>
          <w:p>
            <w:pPr>
              <w:spacing w:after="0"/>
              <w:rPr>
                <w:sz w:val="1"/>
                <w:szCs w:val="1"/>
                <w:color w:val="auto"/>
              </w:rPr>
            </w:pPr>
          </w:p>
        </w:tc>
      </w:tr>
      <w:tr>
        <w:trPr>
          <w:trHeight w:val="24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6,099</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4,479</w:t>
            </w:r>
          </w:p>
        </w:tc>
        <w:tc>
          <w:tcPr>
            <w:tcW w:w="0" w:type="dxa"/>
            <w:vAlign w:val="bottom"/>
          </w:tcPr>
          <w:p>
            <w:pPr>
              <w:spacing w:after="0"/>
              <w:rPr>
                <w:sz w:val="1"/>
                <w:szCs w:val="1"/>
                <w:color w:val="auto"/>
              </w:rPr>
            </w:pPr>
          </w:p>
        </w:tc>
      </w:tr>
      <w:tr>
        <w:trPr>
          <w:trHeight w:val="23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....................................................................................................Totalcurrentassets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148,676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160,808</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Property and equipment,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26,906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77,308</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Operating lease right-of-use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38,313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57,961</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Intangible asset..................................................................................................................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59,195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59,195</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Goodwill............................................................................................................................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140,627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140,627</w:t>
            </w:r>
          </w:p>
        </w:tc>
        <w:tc>
          <w:tcPr>
            <w:tcW w:w="0" w:type="dxa"/>
            <w:vAlign w:val="bottom"/>
          </w:tcPr>
          <w:p>
            <w:pPr>
              <w:spacing w:after="0"/>
              <w:rPr>
                <w:sz w:val="1"/>
                <w:szCs w:val="1"/>
                <w:color w:val="auto"/>
              </w:rPr>
            </w:pPr>
          </w:p>
        </w:tc>
      </w:tr>
      <w:tr>
        <w:trPr>
          <w:trHeight w:val="24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Other non-current assets ....................................................................................................</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3,173</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5,121</w:t>
            </w:r>
          </w:p>
        </w:tc>
        <w:tc>
          <w:tcPr>
            <w:tcW w:w="0" w:type="dxa"/>
            <w:vAlign w:val="bottom"/>
          </w:tcPr>
          <w:p>
            <w:pPr>
              <w:spacing w:after="0"/>
              <w:rPr>
                <w:sz w:val="1"/>
                <w:szCs w:val="1"/>
                <w:color w:val="auto"/>
              </w:rPr>
            </w:pPr>
          </w:p>
        </w:tc>
      </w:tr>
      <w:tr>
        <w:trPr>
          <w:trHeight w:val="23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..............................................................................................................TOTALASSETS</w:t>
            </w:r>
          </w:p>
        </w:tc>
        <w:tc>
          <w:tcPr>
            <w:tcW w:w="2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416,890</w:t>
            </w:r>
          </w:p>
        </w:tc>
        <w:tc>
          <w:tcPr>
            <w:tcW w:w="14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501,020</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LIABILITIES AND STOCKHOLDERS' EQUITY</w:t>
            </w: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Current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Accounts payable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1,669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5,210</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Accrued compensation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13,240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14,449</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8,679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13,240</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Operating lease liabilities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14,938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12,534</w:t>
            </w:r>
          </w:p>
        </w:tc>
        <w:tc>
          <w:tcPr>
            <w:tcW w:w="0" w:type="dxa"/>
            <w:vAlign w:val="bottom"/>
          </w:tcPr>
          <w:p>
            <w:pPr>
              <w:spacing w:after="0"/>
              <w:rPr>
                <w:sz w:val="1"/>
                <w:szCs w:val="1"/>
                <w:color w:val="auto"/>
              </w:rPr>
            </w:pPr>
          </w:p>
        </w:tc>
      </w:tr>
      <w:tr>
        <w:trPr>
          <w:trHeight w:val="24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40,200</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..............................................................................................Totalcurrentliabilities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78,726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45,433</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Operating lease liabilities, net of current portion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63,924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81,663</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Contingent consideration, net of current portion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83,518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108,968</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Success payment liabilities................................................................................................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19,238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4,556</w:t>
            </w:r>
          </w:p>
        </w:tc>
        <w:tc>
          <w:tcPr>
            <w:tcW w:w="0" w:type="dxa"/>
            <w:vAlign w:val="bottom"/>
          </w:tcPr>
          <w:p>
            <w:pPr>
              <w:spacing w:after="0"/>
              <w:rPr>
                <w:sz w:val="1"/>
                <w:szCs w:val="1"/>
                <w:color w:val="auto"/>
              </w:rPr>
            </w:pPr>
          </w:p>
        </w:tc>
      </w:tr>
      <w:tr>
        <w:trPr>
          <w:trHeight w:val="24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Other non-current liabilities ..............................................................................................</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10,600</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9,896</w:t>
            </w:r>
          </w:p>
        </w:tc>
        <w:tc>
          <w:tcPr>
            <w:tcW w:w="0" w:type="dxa"/>
            <w:vAlign w:val="bottom"/>
          </w:tcPr>
          <w:p>
            <w:pPr>
              <w:spacing w:after="0"/>
              <w:rPr>
                <w:sz w:val="1"/>
                <w:szCs w:val="1"/>
                <w:color w:val="auto"/>
              </w:rPr>
            </w:pPr>
          </w:p>
        </w:tc>
      </w:tr>
      <w:tr>
        <w:trPr>
          <w:trHeight w:val="23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...........................................................................................................Totalliabilities</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256,006</w:t>
            </w:r>
          </w:p>
        </w:tc>
        <w:tc>
          <w:tcPr>
            <w:tcW w:w="14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250,516</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Commitments and contingencies (Note 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Stockholders' equity: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Preferred stock, $0.0001 par value; 50,000 shares authorized; zero shares issued and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outstanding as of December 31, 2025 and December 31, 2024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Common stock, $0.0001 par value; 750,000 shares authorized; 266,732 and 223,923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231F20"/>
              </w:rPr>
              <w:t>shares issued and outstanding as of December 31, 2025 and December 31,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respectively........................................................................................................................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Additional paid-in capital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2,009,845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1,855,318</w:t>
            </w:r>
          </w:p>
        </w:tc>
        <w:tc>
          <w:tcPr>
            <w:tcW w:w="0" w:type="dxa"/>
            <w:vAlign w:val="bottom"/>
          </w:tcPr>
          <w:p>
            <w:pPr>
              <w:spacing w:after="0"/>
              <w:rPr>
                <w:sz w:val="1"/>
                <w:szCs w:val="1"/>
                <w:color w:val="auto"/>
              </w:rPr>
            </w:pPr>
          </w:p>
        </w:tc>
      </w:tr>
      <w:tr>
        <w:trPr>
          <w:trHeight w:val="244"/>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Accumulated other comprehensive income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4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Accumulated deficit ..........................................................................................................</w:t>
            </w: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(1,849,016)</w:t>
            </w:r>
          </w:p>
        </w:tc>
        <w:tc>
          <w:tcPr>
            <w:tcW w:w="14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(1,604,850)</w:t>
            </w:r>
          </w:p>
        </w:tc>
        <w:tc>
          <w:tcPr>
            <w:tcW w:w="0" w:type="dxa"/>
            <w:vAlign w:val="bottom"/>
          </w:tcPr>
          <w:p>
            <w:pPr>
              <w:spacing w:after="0"/>
              <w:rPr>
                <w:sz w:val="1"/>
                <w:szCs w:val="1"/>
                <w:color w:val="auto"/>
              </w:rPr>
            </w:pPr>
          </w:p>
        </w:tc>
      </w:tr>
      <w:tr>
        <w:trPr>
          <w:trHeight w:val="23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.................................................................................................Totalstockholders'equity</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160,884</w:t>
            </w:r>
          </w:p>
        </w:tc>
        <w:tc>
          <w:tcPr>
            <w:tcW w:w="14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250,504</w:t>
            </w:r>
          </w:p>
        </w:tc>
        <w:tc>
          <w:tcPr>
            <w:tcW w:w="0" w:type="dxa"/>
            <w:vAlign w:val="bottom"/>
          </w:tcPr>
          <w:p>
            <w:pPr>
              <w:spacing w:after="0"/>
              <w:rPr>
                <w:sz w:val="1"/>
                <w:szCs w:val="1"/>
                <w:color w:val="auto"/>
              </w:rPr>
            </w:pPr>
          </w:p>
        </w:tc>
      </w:tr>
      <w:tr>
        <w:trPr>
          <w:trHeight w:val="239"/>
        </w:trPr>
        <w:tc>
          <w:tcPr>
            <w:tcW w:w="71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...........................................TOTALLIABILITIESANDSTOCKHOLDERS'EQUITY</w:t>
            </w:r>
          </w:p>
        </w:tc>
        <w:tc>
          <w:tcPr>
            <w:tcW w:w="2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416,890</w:t>
            </w:r>
          </w:p>
        </w:tc>
        <w:tc>
          <w:tcPr>
            <w:tcW w:w="14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501,020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153</w:t>
      </w:r>
    </w:p>
    <w:p>
      <w:pPr>
        <w:sectPr>
          <w:pgSz w:w="11880" w:h="15480" w:orient="portrait"/>
          <w:cols w:equalWidth="0" w:num="1">
            <w:col w:w="10800"/>
          </w:cols>
          <w:pgMar w:left="540" w:top="746" w:right="540" w:bottom="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24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131,980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215,673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261,809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60" w:type="dxa"/>
            <w:vAlign w:val="bottom"/>
          </w:tcPr>
          <w:p>
            <w:pPr>
              <w:jc w:val="right"/>
              <w:ind w:right="1100"/>
              <w:spacing w:after="0"/>
              <w:rPr>
                <w:sz w:val="20"/>
                <w:szCs w:val="20"/>
                <w:color w:val="auto"/>
              </w:rPr>
            </w:pPr>
            <w:r>
              <w:rPr>
                <w:rFonts w:ascii="Times New Roman" w:cs="Times New Roman" w:eastAsia="Times New Roman" w:hAnsi="Times New Roman"/>
                <w:sz w:val="20"/>
                <w:szCs w:val="20"/>
                <w:color w:val="231F20"/>
              </w:rPr>
              <w:t>Research and development related success payments and contingent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consideration .........................................................................................................</w:t>
            </w:r>
          </w:p>
        </w:tc>
        <w:tc>
          <w:tcPr>
            <w:tcW w:w="2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29,432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(48,981)</w:t>
            </w:r>
          </w:p>
        </w:tc>
        <w:tc>
          <w:tcPr>
            <w:tcW w:w="0" w:type="dxa"/>
            <w:vAlign w:val="bottom"/>
          </w:tcPr>
          <w:p>
            <w:pPr>
              <w:spacing w:after="0"/>
              <w:rPr>
                <w:sz w:val="1"/>
                <w:szCs w:val="1"/>
                <w:color w:val="auto"/>
              </w:rPr>
            </w:pPr>
          </w:p>
        </w:tc>
      </w:tr>
      <w:tr>
        <w:trPr>
          <w:trHeight w:val="244"/>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General and administrative ...................................................................................</w:t>
            </w:r>
          </w:p>
        </w:tc>
        <w:tc>
          <w:tcPr>
            <w:tcW w:w="2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44,296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64,040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73,299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Impairment of long-lived assets ............................................................................</w:t>
            </w:r>
          </w:p>
        </w:tc>
        <w:tc>
          <w:tcPr>
            <w:tcW w:w="2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44,611</w:t>
            </w:r>
          </w:p>
        </w:tc>
        <w:tc>
          <w:tcPr>
            <w:tcW w:w="1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1,891</w:t>
            </w:r>
          </w:p>
        </w:tc>
        <w:tc>
          <w:tcPr>
            <w:tcW w:w="1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7,014</w:t>
            </w:r>
          </w:p>
        </w:tc>
        <w:tc>
          <w:tcPr>
            <w:tcW w:w="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...................................................................................Totaloperatingexpenses</w:t>
            </w:r>
          </w:p>
        </w:tc>
        <w:tc>
          <w:tcPr>
            <w:tcW w:w="24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250,319</w:t>
            </w:r>
          </w:p>
        </w:tc>
        <w:tc>
          <w:tcPr>
            <w:tcW w:w="1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272,723</w:t>
            </w:r>
          </w:p>
        </w:tc>
        <w:tc>
          <w:tcPr>
            <w:tcW w:w="1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293,141</w:t>
            </w:r>
          </w:p>
        </w:tc>
        <w:tc>
          <w:tcPr>
            <w:tcW w:w="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.................................................................................................Lossfromoperations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(250,319)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(272,723)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(293,141)</w:t>
            </w:r>
          </w:p>
        </w:tc>
        <w:tc>
          <w:tcPr>
            <w:tcW w:w="0" w:type="dxa"/>
            <w:vAlign w:val="bottom"/>
          </w:tcPr>
          <w:p>
            <w:pPr>
              <w:spacing w:after="0"/>
              <w:rPr>
                <w:sz w:val="1"/>
                <w:szCs w:val="1"/>
                <w:color w:val="auto"/>
              </w:rPr>
            </w:pPr>
          </w:p>
        </w:tc>
      </w:tr>
      <w:tr>
        <w:trPr>
          <w:trHeight w:val="244"/>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Interest income, net ...................................................................................................</w:t>
            </w:r>
          </w:p>
        </w:tc>
        <w:tc>
          <w:tcPr>
            <w:tcW w:w="2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3,848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10,471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Other income (expense), net .....................................................................................</w:t>
            </w:r>
          </w:p>
        </w:tc>
        <w:tc>
          <w:tcPr>
            <w:tcW w:w="2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2,305</w:t>
            </w:r>
          </w:p>
        </w:tc>
        <w:tc>
          <w:tcPr>
            <w:tcW w:w="1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(4,507)</w:t>
            </w:r>
          </w:p>
        </w:tc>
        <w:tc>
          <w:tcPr>
            <w:tcW w:w="1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(52)</w:t>
            </w:r>
          </w:p>
        </w:tc>
        <w:tc>
          <w:tcPr>
            <w:tcW w:w="0" w:type="dxa"/>
            <w:vAlign w:val="bottom"/>
          </w:tcPr>
          <w:p>
            <w:pPr>
              <w:spacing w:after="0"/>
              <w:rPr>
                <w:sz w:val="1"/>
                <w:szCs w:val="1"/>
                <w:color w:val="auto"/>
              </w:rPr>
            </w:pPr>
          </w:p>
        </w:tc>
      </w:tr>
      <w:tr>
        <w:trPr>
          <w:trHeight w:val="239"/>
        </w:trPr>
        <w:tc>
          <w:tcPr>
            <w:tcW w:w="68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......................................................................................................................Netloss</w:t>
            </w: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(244,166)</w:t>
            </w:r>
          </w:p>
        </w:tc>
        <w:tc>
          <w:tcPr>
            <w:tcW w:w="120" w:type="dxa"/>
            <w:vAlign w:val="bottom"/>
          </w:tcPr>
          <w:p>
            <w:pPr>
              <w:spacing w:after="0"/>
              <w:rPr>
                <w:sz w:val="20"/>
                <w:szCs w:val="20"/>
                <w:color w:val="auto"/>
              </w:rPr>
            </w:pP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(266,759)</w:t>
            </w:r>
          </w:p>
        </w:tc>
        <w:tc>
          <w:tcPr>
            <w:tcW w:w="120" w:type="dxa"/>
            <w:vAlign w:val="bottom"/>
          </w:tcPr>
          <w:p>
            <w:pPr>
              <w:spacing w:after="0"/>
              <w:rPr>
                <w:sz w:val="20"/>
                <w:szCs w:val="20"/>
                <w:color w:val="auto"/>
              </w:rPr>
            </w:pP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(283,255)</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common share – basic and diluted</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vMerge w:val="continue"/>
          </w:tcPr>
          <w:p>
            <w:pPr>
              <w:jc w:val="right"/>
              <w:ind w:right="22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(0.96)</w:t>
            </w:r>
          </w:p>
        </w:tc>
        <w:tc>
          <w:tcPr>
            <w:tcW w:w="120" w:type="dxa"/>
            <w:vAlign w:val="bottom"/>
          </w:tcPr>
          <w:p>
            <w:pPr>
              <w:spacing w:after="0"/>
              <w:rPr>
                <w:sz w:val="19"/>
                <w:szCs w:val="19"/>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120" w:type="dxa"/>
            <w:vAlign w:val="bottom"/>
          </w:tcPr>
          <w:p>
            <w:pPr>
              <w:spacing w:after="0"/>
              <w:rPr>
                <w:sz w:val="19"/>
                <w:szCs w:val="19"/>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Weighted-average number of common shares – basic and diluted</w:t>
            </w:r>
          </w:p>
        </w:tc>
        <w:tc>
          <w:tcPr>
            <w:tcW w:w="2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vMerge w:val="continue"/>
          </w:tcPr>
          <w:p>
            <w:pPr>
              <w:jc w:val="right"/>
              <w:ind w:right="22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253,234</w:t>
            </w:r>
          </w:p>
        </w:tc>
        <w:tc>
          <w:tcPr>
            <w:tcW w:w="12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230,891</w:t>
            </w:r>
          </w:p>
        </w:tc>
        <w:tc>
          <w:tcPr>
            <w:tcW w:w="12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194,541</w:t>
            </w:r>
          </w:p>
        </w:tc>
        <w:tc>
          <w:tcPr>
            <w:tcW w:w="8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-2277745</wp:posOffset>
            </wp:positionV>
            <wp:extent cx="248539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extLst>
                    </a:blip>
                    <a:srcRect/>
                    <a:stretch>
                      <a:fillRect/>
                    </a:stretch>
                  </pic:blipFill>
                  <pic:spPr bwMode="auto">
                    <a:xfrm>
                      <a:off x="0" y="0"/>
                      <a:ext cx="2485390" cy="3810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154</w:t>
      </w:r>
    </w:p>
    <w:p>
      <w:pPr>
        <w:sectPr>
          <w:pgSz w:w="11880" w:h="15480" w:orient="portrait"/>
          <w:cols w:equalWidth="0" w:num="1">
            <w:col w:w="10800"/>
          </w:cols>
          <w:pgMar w:left="540" w:top="746" w:right="540" w:bottom="0"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w:t>
            </w:r>
          </w:p>
        </w:tc>
        <w:tc>
          <w:tcPr>
            <w:tcW w:w="8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508"/>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505"/>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80" w:type="dxa"/>
            <w:vAlign w:val="bottom"/>
            <w:tcBorders>
              <w:bottom w:val="single" w:sz="8" w:color="231F20"/>
            </w:tcBorders>
          </w:tcPr>
          <w:p>
            <w:pPr>
              <w:jc w:val="right"/>
              <w:ind w:right="445"/>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14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7"/>
                <w:szCs w:val="17"/>
                <w:color w:val="auto"/>
              </w:rPr>
            </w:pPr>
          </w:p>
        </w:tc>
        <w:tc>
          <w:tcPr>
            <w:tcW w:w="300" w:type="dxa"/>
            <w:vAlign w:val="bottom"/>
          </w:tcPr>
          <w:p>
            <w:pPr>
              <w:jc w:val="right"/>
              <w:ind w:right="10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(244,166)</w:t>
            </w:r>
          </w:p>
        </w:tc>
        <w:tc>
          <w:tcPr>
            <w:tcW w:w="140" w:type="dxa"/>
            <w:vAlign w:val="bottom"/>
          </w:tcPr>
          <w:p>
            <w:pPr>
              <w:spacing w:after="0"/>
              <w:rPr>
                <w:sz w:val="17"/>
                <w:szCs w:val="17"/>
                <w:color w:val="auto"/>
              </w:rPr>
            </w:pPr>
          </w:p>
        </w:tc>
        <w:tc>
          <w:tcPr>
            <w:tcW w:w="300" w:type="dxa"/>
            <w:vAlign w:val="bottom"/>
          </w:tcPr>
          <w:p>
            <w:pPr>
              <w:jc w:val="right"/>
              <w:ind w:right="10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(266,759)</w:t>
            </w:r>
          </w:p>
        </w:tc>
        <w:tc>
          <w:tcPr>
            <w:tcW w:w="140" w:type="dxa"/>
            <w:vAlign w:val="bottom"/>
          </w:tcPr>
          <w:p>
            <w:pPr>
              <w:spacing w:after="0"/>
              <w:rPr>
                <w:sz w:val="17"/>
                <w:szCs w:val="17"/>
                <w:color w:val="auto"/>
              </w:rPr>
            </w:pPr>
          </w:p>
        </w:tc>
        <w:tc>
          <w:tcPr>
            <w:tcW w:w="320" w:type="dxa"/>
            <w:vAlign w:val="bottom"/>
          </w:tcPr>
          <w:p>
            <w:pPr>
              <w:jc w:val="right"/>
              <w:ind w:right="12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rPr>
              <w:t>(283,255)</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231F20"/>
              </w:rPr>
              <w:t>Other comprehensive income: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Unrealized gain on marketable securities, net.............................................</w:t>
            </w: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14</w:t>
            </w:r>
          </w:p>
        </w:tc>
        <w:tc>
          <w:tcPr>
            <w:tcW w:w="14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74</w:t>
            </w:r>
          </w:p>
        </w:tc>
        <w:tc>
          <w:tcPr>
            <w:tcW w:w="14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4,267</w:t>
            </w:r>
          </w:p>
        </w:tc>
        <w:tc>
          <w:tcPr>
            <w:tcW w:w="0" w:type="dxa"/>
            <w:vAlign w:val="bottom"/>
          </w:tcPr>
          <w:p>
            <w:pPr>
              <w:spacing w:after="0"/>
              <w:rPr>
                <w:sz w:val="1"/>
                <w:szCs w:val="1"/>
                <w:color w:val="auto"/>
              </w:rPr>
            </w:pPr>
          </w:p>
        </w:tc>
      </w:tr>
      <w:tr>
        <w:trPr>
          <w:trHeight w:val="225"/>
        </w:trPr>
        <w:tc>
          <w:tcPr>
            <w:tcW w:w="61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................................................................................Totalcomprehensiveloss</w:t>
            </w:r>
          </w:p>
        </w:tc>
        <w:tc>
          <w:tcPr>
            <w:tcW w:w="8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(244,152)</w:t>
            </w:r>
          </w:p>
        </w:tc>
        <w:tc>
          <w:tcPr>
            <w:tcW w:w="14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(266,685)</w:t>
            </w:r>
          </w:p>
        </w:tc>
        <w:tc>
          <w:tcPr>
            <w:tcW w:w="140" w:type="dxa"/>
            <w:vAlign w:val="bottom"/>
          </w:tcPr>
          <w:p>
            <w:pPr>
              <w:spacing w:after="0"/>
              <w:rPr>
                <w:sz w:val="19"/>
                <w:szCs w:val="19"/>
                <w:color w:val="auto"/>
              </w:rPr>
            </w:pPr>
          </w:p>
        </w:tc>
        <w:tc>
          <w:tcPr>
            <w:tcW w:w="320" w:type="dxa"/>
            <w:vAlign w:val="bottom"/>
            <w:tcBorders>
              <w:bottom w:val="single" w:sz="8" w:color="231F20"/>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(278,988)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-772160</wp:posOffset>
            </wp:positionV>
            <wp:extent cx="28962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extLst>
                    </a:blip>
                    <a:srcRect/>
                    <a:stretch>
                      <a:fillRect/>
                    </a:stretch>
                  </pic:blipFill>
                  <pic:spPr bwMode="auto">
                    <a:xfrm>
                      <a:off x="0" y="0"/>
                      <a:ext cx="2896235" cy="3810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155</w:t>
      </w:r>
    </w:p>
    <w:p>
      <w:pPr>
        <w:sectPr>
          <w:pgSz w:w="11880" w:h="15480" w:orient="portrait"/>
          <w:cols w:equalWidth="0" w:num="1">
            <w:col w:w="10800"/>
          </w:cols>
          <w:pgMar w:left="540" w:top="746" w:right="540" w:bottom="0"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rPr>
              <w:t>Additional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231F20"/>
              </w:rPr>
              <w:t>Total</w:t>
            </w:r>
          </w:p>
        </w:tc>
      </w:tr>
      <w:tr>
        <w:trPr>
          <w:trHeight w:val="190"/>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7"/>
          </w:tcPr>
          <w:p>
            <w:pPr>
              <w:jc w:val="right"/>
              <w:ind w:right="413"/>
              <w:spacing w:after="0"/>
              <w:rPr>
                <w:sz w:val="20"/>
                <w:szCs w:val="20"/>
                <w:color w:val="auto"/>
              </w:rPr>
            </w:pPr>
            <w:r>
              <w:rPr>
                <w:rFonts w:ascii="Times New Roman" w:cs="Times New Roman" w:eastAsia="Times New Roman" w:hAnsi="Times New Roman"/>
                <w:sz w:val="14"/>
                <w:szCs w:val="14"/>
                <w:b w:val="1"/>
                <w:bCs w:val="1"/>
                <w:color w:val="231F20"/>
              </w:rPr>
              <w:t>Common Stock</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w w:val="97"/>
              </w:rPr>
              <w:t>Paid-In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w w:val="98"/>
              </w:rPr>
              <w:t>Comprehensive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231F20"/>
              </w:rPr>
              <w:t>Stockholders'</w:t>
            </w:r>
          </w:p>
        </w:tc>
      </w:tr>
      <w:tr>
        <w:trPr>
          <w:trHeight w:val="177"/>
        </w:trPr>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231F20"/>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28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w w:val="99"/>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9"/>
              </w:rPr>
              <w:t>Income (Loss)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231F20"/>
                <w:w w:val="98"/>
              </w:rPr>
              <w:t>Equity</w:t>
            </w:r>
          </w:p>
        </w:tc>
      </w:tr>
      <w:tr>
        <w:trPr>
          <w:trHeight w:val="192"/>
        </w:trPr>
        <w:tc>
          <w:tcPr>
            <w:tcW w:w="3360" w:type="dxa"/>
            <w:vAlign w:val="bottom"/>
            <w:gridSpan w:val="5"/>
          </w:tcPr>
          <w:p>
            <w:pPr>
              <w:spacing w:after="0" w:line="19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BalanceasofDecember31,2022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191,022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733"/>
              <w:spacing w:after="0"/>
              <w:rPr>
                <w:sz w:val="20"/>
                <w:szCs w:val="20"/>
                <w:color w:val="auto"/>
              </w:rPr>
            </w:pPr>
            <w:r>
              <w:rPr>
                <w:rFonts w:ascii="Times New Roman" w:cs="Times New Roman" w:eastAsia="Times New Roman" w:hAnsi="Times New Roman"/>
                <w:sz w:val="5"/>
                <w:szCs w:val="5"/>
                <w:color w:val="231F20"/>
                <w:w w:val="7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1,558,459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(1,054,836)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499,315</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from at the market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offering, net of issuance costs of $1,213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4,586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27,019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27,020</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Vesting of restricted stock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r>
      <w:tr>
        <w:trPr>
          <w:trHeight w:val="231"/>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 xml:space="preserve">Exercise of stock options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2,020</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related to employee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stock purchase plan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2,606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2,606</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Stock-based compensation expense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35,533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35,533</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Unrealized gain on marketable securities, net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4,267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4,267</w:t>
            </w:r>
          </w:p>
        </w:tc>
      </w:tr>
      <w:tr>
        <w:trPr>
          <w:trHeight w:val="233"/>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Net loss</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(283,255)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(283,255)</w:t>
            </w:r>
          </w:p>
        </w:tc>
      </w:tr>
      <w:tr>
        <w:trPr>
          <w:trHeight w:val="192"/>
        </w:trPr>
        <w:tc>
          <w:tcPr>
            <w:tcW w:w="3340" w:type="dxa"/>
            <w:vAlign w:val="bottom"/>
            <w:gridSpan w:val="4"/>
          </w:tcPr>
          <w:p>
            <w:pPr>
              <w:spacing w:after="0" w:line="19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BalanceasofDecember31,2023</w:t>
            </w:r>
          </w:p>
        </w:tc>
        <w:tc>
          <w:tcPr>
            <w:tcW w:w="2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197,857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231F20"/>
            </w:tcBorders>
            <w:gridSpan w:val="2"/>
          </w:tcPr>
          <w:p>
            <w:pPr>
              <w:jc w:val="right"/>
              <w:ind w:right="733"/>
              <w:spacing w:after="0"/>
              <w:rPr>
                <w:sz w:val="20"/>
                <w:szCs w:val="20"/>
                <w:color w:val="auto"/>
              </w:rPr>
            </w:pPr>
            <w:r>
              <w:rPr>
                <w:rFonts w:ascii="Times New Roman" w:cs="Times New Roman" w:eastAsia="Times New Roman" w:hAnsi="Times New Roman"/>
                <w:sz w:val="1"/>
                <w:szCs w:val="1"/>
                <w:color w:val="231F20"/>
                <w:w w:val="4294967286"/>
              </w:rPr>
              <w:t>$</w:t>
            </w:r>
          </w:p>
        </w:tc>
        <w:tc>
          <w:tcPr>
            <w:tcW w:w="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gridSpan w:val="2"/>
          </w:tcPr>
          <w:p>
            <w:pPr>
              <w:jc w:val="right"/>
              <w:ind w:right="35"/>
              <w:spacing w:after="0"/>
              <w:rPr>
                <w:sz w:val="20"/>
                <w:szCs w:val="20"/>
                <w:color w:val="auto"/>
              </w:rPr>
            </w:pPr>
            <w:r>
              <w:rPr>
                <w:rFonts w:ascii="Times New Roman" w:cs="Times New Roman" w:eastAsia="Times New Roman" w:hAnsi="Times New Roman"/>
                <w:sz w:val="1"/>
                <w:szCs w:val="1"/>
                <w:color w:val="231F20"/>
                <w:w w:val="4294967286"/>
              </w:rPr>
              <w:t>$</w:t>
            </w: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1,625,637</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(60)</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(1,338,091)</w:t>
            </w: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040" w:type="dxa"/>
            <w:vAlign w:val="bottom"/>
            <w:tcBorders>
              <w:top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287,506</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from at the market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7"/>
        </w:trPr>
        <w:tc>
          <w:tcPr>
            <w:tcW w:w="3360" w:type="dxa"/>
            <w:vAlign w:val="bottom"/>
            <w:gridSpan w:val="5"/>
          </w:tcPr>
          <w:p>
            <w:pPr>
              <w:spacing w:after="0" w:line="217" w:lineRule="exact"/>
              <w:rPr>
                <w:sz w:val="20"/>
                <w:szCs w:val="20"/>
                <w:color w:val="auto"/>
              </w:rPr>
            </w:pPr>
            <w:r>
              <w:rPr>
                <w:rFonts w:ascii="Times New Roman" w:cs="Times New Roman" w:eastAsia="Times New Roman" w:hAnsi="Times New Roman"/>
                <w:sz w:val="16"/>
                <w:szCs w:val="16"/>
                <w:color w:val="231F20"/>
              </w:rPr>
              <w:t xml:space="preserve">offering, net of issuance costs of $158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992</w:t>
            </w:r>
          </w:p>
        </w:tc>
      </w:tr>
      <w:tr>
        <w:trPr>
          <w:trHeight w:val="184"/>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Issuance of common stock from follow-on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offering and accompanying pre-funded warrants,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net of issuance costs of $9,741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21,773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180,006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180,008</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Vesting of restricted stock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r>
      <w:tr>
        <w:trPr>
          <w:trHeight w:val="231"/>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 xml:space="preserve">Exercise of stock options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9,493</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related to employee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stock purchase plan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1,512</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Stock-based compensation expense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37,678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37,678</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Unrealized gain on marketable securities, net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74</w:t>
            </w:r>
          </w:p>
        </w:tc>
      </w:tr>
      <w:tr>
        <w:trPr>
          <w:trHeight w:val="233"/>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Net loss</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(266,759)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(266,759)</w:t>
            </w:r>
          </w:p>
        </w:tc>
      </w:tr>
      <w:tr>
        <w:trPr>
          <w:trHeight w:val="192"/>
        </w:trPr>
        <w:tc>
          <w:tcPr>
            <w:tcW w:w="3320" w:type="dxa"/>
            <w:vAlign w:val="bottom"/>
            <w:gridSpan w:val="3"/>
          </w:tcPr>
          <w:p>
            <w:pPr>
              <w:spacing w:after="0" w:line="192"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BalanceasofDecember31,2024</w:t>
            </w:r>
          </w:p>
        </w:tc>
        <w:tc>
          <w:tcPr>
            <w:tcW w:w="40" w:type="dxa"/>
            <w:vAlign w:val="bottom"/>
            <w:tcBorders>
              <w:top w:val="single" w:sz="8" w:color="231F20"/>
            </w:tcBorders>
            <w:gridSpan w:val="2"/>
          </w:tcPr>
          <w:p>
            <w:pPr>
              <w:spacing w:after="0"/>
              <w:rPr>
                <w:sz w:val="16"/>
                <w:szCs w:val="16"/>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223,923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231F20"/>
            </w:tcBorders>
            <w:gridSpan w:val="3"/>
          </w:tcPr>
          <w:p>
            <w:pPr>
              <w:jc w:val="right"/>
              <w:ind w:right="733"/>
              <w:spacing w:after="0"/>
              <w:rPr>
                <w:sz w:val="20"/>
                <w:szCs w:val="20"/>
                <w:color w:val="auto"/>
              </w:rPr>
            </w:pPr>
            <w:r>
              <w:rPr>
                <w:rFonts w:ascii="Times New Roman" w:cs="Times New Roman" w:eastAsia="Times New Roman" w:hAnsi="Times New Roman"/>
                <w:sz w:val="5"/>
                <w:szCs w:val="5"/>
                <w:color w:val="231F20"/>
                <w:w w:val="78"/>
              </w:rPr>
              <w:t>$</w:t>
            </w:r>
          </w:p>
        </w:tc>
        <w:tc>
          <w:tcPr>
            <w:tcW w:w="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231F20"/>
            </w:tcBorders>
            <w:gridSpan w:val="3"/>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1,855,318</w:t>
            </w: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00" w:type="dxa"/>
            <w:vAlign w:val="bottom"/>
            <w:tcBorders>
              <w:top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14</w:t>
            </w: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(1,604,850)</w:t>
            </w: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40" w:type="dxa"/>
            <w:vAlign w:val="bottom"/>
            <w:tcBorders>
              <w:top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250,504</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from at the market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7"/>
        </w:trPr>
        <w:tc>
          <w:tcPr>
            <w:tcW w:w="3360" w:type="dxa"/>
            <w:vAlign w:val="bottom"/>
            <w:gridSpan w:val="5"/>
          </w:tcPr>
          <w:p>
            <w:pPr>
              <w:spacing w:after="0" w:line="217" w:lineRule="exact"/>
              <w:rPr>
                <w:sz w:val="20"/>
                <w:szCs w:val="20"/>
                <w:color w:val="auto"/>
              </w:rPr>
            </w:pPr>
            <w:r>
              <w:rPr>
                <w:rFonts w:ascii="Times New Roman" w:cs="Times New Roman" w:eastAsia="Times New Roman" w:hAnsi="Times New Roman"/>
                <w:sz w:val="16"/>
                <w:szCs w:val="16"/>
                <w:color w:val="231F20"/>
              </w:rPr>
              <w:t xml:space="preserve">offering, net of issuance costs of $1,598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45,765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45,767</w:t>
            </w:r>
          </w:p>
        </w:tc>
      </w:tr>
      <w:tr>
        <w:trPr>
          <w:trHeight w:val="184"/>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Issuance of common stock from common stock</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financings and accompanying pre-funded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warrants, net of issuance costs of $5,625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24,254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80,623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80,625</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Exercise of pre-funded warrants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Vesting of restricted stock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w:t>
            </w:r>
          </w:p>
        </w:tc>
      </w:tr>
      <w:tr>
        <w:trPr>
          <w:trHeight w:val="231"/>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 xml:space="preserve">Exercise of stock options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2,326</w:t>
            </w:r>
          </w:p>
        </w:tc>
      </w:tr>
      <w:tr>
        <w:trPr>
          <w:trHeight w:val="165"/>
        </w:trPr>
        <w:tc>
          <w:tcPr>
            <w:tcW w:w="33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color w:val="231F20"/>
              </w:rPr>
              <w:t>Issuance of common stock related to employee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3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stock purchase plan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350</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Stock-based compensation expense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25,464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25,464</w:t>
            </w:r>
          </w:p>
        </w:tc>
      </w:tr>
      <w:tr>
        <w:trPr>
          <w:trHeight w:val="198"/>
        </w:trPr>
        <w:tc>
          <w:tcPr>
            <w:tcW w:w="3360" w:type="dxa"/>
            <w:vAlign w:val="bottom"/>
            <w:gridSpan w:val="5"/>
          </w:tcPr>
          <w:p>
            <w:pPr>
              <w:spacing w:after="0" w:line="198" w:lineRule="exact"/>
              <w:rPr>
                <w:sz w:val="20"/>
                <w:szCs w:val="20"/>
                <w:color w:val="auto"/>
              </w:rPr>
            </w:pPr>
            <w:r>
              <w:rPr>
                <w:rFonts w:ascii="Times New Roman" w:cs="Times New Roman" w:eastAsia="Times New Roman" w:hAnsi="Times New Roman"/>
                <w:sz w:val="16"/>
                <w:szCs w:val="16"/>
                <w:color w:val="231F20"/>
              </w:rPr>
              <w:t xml:space="preserve">Unrealized gain on marketable securities, net </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14</w:t>
            </w:r>
          </w:p>
        </w:tc>
      </w:tr>
      <w:tr>
        <w:trPr>
          <w:trHeight w:val="233"/>
        </w:trPr>
        <w:tc>
          <w:tcPr>
            <w:tcW w:w="3360" w:type="dxa"/>
            <w:vAlign w:val="bottom"/>
            <w:gridSpan w:val="5"/>
          </w:tcPr>
          <w:p>
            <w:pPr>
              <w:spacing w:after="0"/>
              <w:rPr>
                <w:sz w:val="20"/>
                <w:szCs w:val="20"/>
                <w:color w:val="auto"/>
              </w:rPr>
            </w:pPr>
            <w:r>
              <w:rPr>
                <w:rFonts w:ascii="Times New Roman" w:cs="Times New Roman" w:eastAsia="Times New Roman" w:hAnsi="Times New Roman"/>
                <w:sz w:val="16"/>
                <w:szCs w:val="16"/>
                <w:color w:val="231F20"/>
              </w:rPr>
              <w:t>Net loss</w:t>
            </w: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(244,166)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(244,166)</w:t>
            </w:r>
          </w:p>
        </w:tc>
      </w:tr>
      <w:tr>
        <w:trPr>
          <w:trHeight w:val="193"/>
        </w:trPr>
        <w:tc>
          <w:tcPr>
            <w:tcW w:w="330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BalanceasofDecember31,2025</w:t>
            </w:r>
          </w:p>
        </w:tc>
        <w:tc>
          <w:tcPr>
            <w:tcW w:w="60" w:type="dxa"/>
            <w:vAlign w:val="bottom"/>
            <w:tcBorders>
              <w:top w:val="single" w:sz="8" w:color="231F20"/>
            </w:tcBorders>
            <w:gridSpan w:val="3"/>
          </w:tcPr>
          <w:p>
            <w:pPr>
              <w:spacing w:after="0"/>
              <w:rPr>
                <w:sz w:val="16"/>
                <w:szCs w:val="16"/>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266,732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231F20"/>
            </w:tcBorders>
            <w:gridSpan w:val="4"/>
          </w:tcPr>
          <w:p>
            <w:pPr>
              <w:jc w:val="right"/>
              <w:ind w:right="733"/>
              <w:spacing w:after="0"/>
              <w:rPr>
                <w:sz w:val="20"/>
                <w:szCs w:val="20"/>
                <w:color w:val="auto"/>
              </w:rPr>
            </w:pPr>
            <w:r>
              <w:rPr>
                <w:rFonts w:ascii="Times New Roman" w:cs="Times New Roman" w:eastAsia="Times New Roman" w:hAnsi="Times New Roman"/>
                <w:sz w:val="11"/>
                <w:szCs w:val="11"/>
                <w:color w:val="231F20"/>
                <w:w w:val="71"/>
              </w:rPr>
              <w:t>$</w:t>
            </w:r>
          </w:p>
        </w:tc>
        <w:tc>
          <w:tcPr>
            <w:tcW w:w="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31F20"/>
            </w:tcBorders>
            <w:gridSpan w:val="4"/>
          </w:tcPr>
          <w:p>
            <w:pPr>
              <w:jc w:val="right"/>
              <w:ind w:right="35"/>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2,009,845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gridSpan w:val="4"/>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100" w:type="dxa"/>
            <w:vAlign w:val="bottom"/>
            <w:tcBorders>
              <w:top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gridSpan w:val="4"/>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(1,849,016)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gridSpan w:val="4"/>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40" w:type="dxa"/>
            <w:vAlign w:val="bottom"/>
            <w:tcBorders>
              <w:top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color w:val="231F20"/>
              </w:rPr>
              <w:t>160,884</w:t>
            </w:r>
          </w:p>
        </w:tc>
      </w:tr>
      <w:tr>
        <w:trPr>
          <w:trHeight w:val="20"/>
        </w:trPr>
        <w:tc>
          <w:tcPr>
            <w:tcW w:w="32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-4889500</wp:posOffset>
            </wp:positionV>
            <wp:extent cx="152781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extLst>
                    </a:blip>
                    <a:srcRect/>
                    <a:stretch>
                      <a:fillRect/>
                    </a:stretch>
                  </pic:blipFill>
                  <pic:spPr bwMode="auto">
                    <a:xfrm>
                      <a:off x="0" y="0"/>
                      <a:ext cx="1527810" cy="3810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156</w:t>
      </w:r>
    </w:p>
    <w:p>
      <w:pPr>
        <w:sectPr>
          <w:pgSz w:w="11880" w:h="15480" w:orient="portrait"/>
          <w:cols w:equalWidth="0" w:num="1">
            <w:col w:w="10800"/>
          </w:cols>
          <w:pgMar w:left="540" w:top="746" w:right="540" w:bottom="0"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6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OPERATING ACTIVITIES:</w:t>
            </w:r>
          </w:p>
        </w:tc>
        <w:tc>
          <w:tcPr>
            <w:tcW w:w="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Net loss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(244,166)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(266,759)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(283,255)</w:t>
            </w: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 to reconcile net loss to net cash used in operating activities: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Depreciation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12,750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15,500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Stock-based compensation expense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25,464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37,678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Change in the estimated fair value of contingent consideration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(40,773)</w:t>
            </w: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Change in the estimated fair value of success payment liabilities..............................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(8,208)</w:t>
            </w: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Non-cash expense for operating lease right-of-use assets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Impairment of long-lived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44,611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1,891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Other non-cash items, net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(13,312)</w:t>
            </w:r>
          </w:p>
        </w:tc>
        <w:tc>
          <w:tcPr>
            <w:tcW w:w="0" w:type="dxa"/>
            <w:vAlign w:val="bottom"/>
          </w:tcPr>
          <w:p>
            <w:pPr>
              <w:spacing w:after="0"/>
              <w:rPr>
                <w:sz w:val="1"/>
                <w:szCs w:val="1"/>
                <w:color w:val="auto"/>
              </w:rPr>
            </w:pPr>
          </w:p>
        </w:tc>
      </w:tr>
      <w:tr>
        <w:trPr>
          <w:trHeight w:val="244"/>
        </w:trPr>
        <w:tc>
          <w:tcPr>
            <w:tcW w:w="7020" w:type="dxa"/>
            <w:vAlign w:val="bottom"/>
          </w:tcPr>
          <w:p>
            <w:pPr>
              <w:jc w:val="right"/>
              <w:ind w:right="3320"/>
              <w:spacing w:after="0"/>
              <w:rPr>
                <w:sz w:val="20"/>
                <w:szCs w:val="20"/>
                <w:color w:val="auto"/>
              </w:rPr>
            </w:pPr>
            <w:r>
              <w:rPr>
                <w:rFonts w:ascii="Times New Roman" w:cs="Times New Roman" w:eastAsia="Times New Roman" w:hAnsi="Times New Roman"/>
                <w:sz w:val="20"/>
                <w:szCs w:val="20"/>
                <w:color w:val="231F20"/>
              </w:rPr>
              <w:t>Changes in operating assets and liabilities: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Prepaid expenses and other assets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Operating lease right-of-use assets and liabilities...................................................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9,341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Accounts payable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1,377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Accrued expenses and other liabilities....................................................................</w:t>
            </w: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(4,737)</w:t>
            </w:r>
          </w:p>
        </w:tc>
        <w:tc>
          <w:tcPr>
            <w:tcW w:w="1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(8,390)</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(1,518)</w:t>
            </w:r>
          </w:p>
        </w:tc>
        <w:tc>
          <w:tcPr>
            <w:tcW w:w="0" w:type="dxa"/>
            <w:vAlign w:val="bottom"/>
          </w:tcPr>
          <w:p>
            <w:pPr>
              <w:spacing w:after="0"/>
              <w:rPr>
                <w:sz w:val="1"/>
                <w:szCs w:val="1"/>
                <w:color w:val="auto"/>
              </w:rPr>
            </w:pPr>
          </w:p>
        </w:tc>
      </w:tr>
      <w:tr>
        <w:trPr>
          <w:trHeight w:val="23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...........................................................................Netcashusedinoperatingactivities</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(143,828)</w:t>
            </w:r>
          </w:p>
        </w:tc>
        <w:tc>
          <w:tcPr>
            <w:tcW w:w="12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(223,153)</w:t>
            </w:r>
          </w:p>
        </w:tc>
        <w:tc>
          <w:tcPr>
            <w:tcW w:w="1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(253,582)</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Purchases of marketable securities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(226,064)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(157,744)</w:t>
            </w: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Proceeds from maturities of marketable securities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46,561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276,947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349,788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Purchases of property and equipment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(20,032)</w:t>
            </w: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Proceeds from disposal of assets ....................................................................................</w:t>
            </w: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1,432</w:t>
            </w:r>
          </w:p>
        </w:tc>
        <w:tc>
          <w:tcPr>
            <w:tcW w:w="1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....................................................Netcashprovidedby(usedin)investingactivities</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(40,238)</w:t>
            </w:r>
          </w:p>
        </w:tc>
        <w:tc>
          <w:tcPr>
            <w:tcW w:w="12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17,453</w:t>
            </w:r>
          </w:p>
        </w:tc>
        <w:tc>
          <w:tcPr>
            <w:tcW w:w="1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172,012</w:t>
            </w:r>
          </w:p>
        </w:tc>
        <w:tc>
          <w:tcPr>
            <w:tcW w:w="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Proceeds from employee stock purchase plan and exercise of stock options.................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11,005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Proceeds related to common stock financings, net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126,404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181,000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Proceeds (principal payments), net for tenant improvement loan ..................................</w:t>
            </w: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(347)</w:t>
            </w:r>
          </w:p>
        </w:tc>
        <w:tc>
          <w:tcPr>
            <w:tcW w:w="1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7,744</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...................................................................Netcashprovidedbyfinancingactivities</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128,733</w:t>
            </w:r>
          </w:p>
        </w:tc>
        <w:tc>
          <w:tcPr>
            <w:tcW w:w="12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199,749</w:t>
            </w:r>
          </w:p>
        </w:tc>
        <w:tc>
          <w:tcPr>
            <w:tcW w:w="1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31,646</w:t>
            </w:r>
          </w:p>
        </w:tc>
        <w:tc>
          <w:tcPr>
            <w:tcW w:w="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............................................Netdecreaseincash,cashequivalents,andrestrictedcash</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(49,924)</w:t>
            </w: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Cash, cash equivalents, and restricted cash at beginning of period ................................</w:t>
            </w: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131,398</w:t>
            </w:r>
          </w:p>
        </w:tc>
        <w:tc>
          <w:tcPr>
            <w:tcW w:w="1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137,349</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187,273</w:t>
            </w:r>
          </w:p>
        </w:tc>
        <w:tc>
          <w:tcPr>
            <w:tcW w:w="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..........................................Cash,cashequivalents,andrestrictedcashatendofperiod</w:t>
            </w:r>
          </w:p>
        </w:tc>
        <w:tc>
          <w:tcPr>
            <w:tcW w:w="20" w:type="dxa"/>
            <w:vAlign w:val="bottom"/>
          </w:tcPr>
          <w:p>
            <w:pPr>
              <w:spacing w:after="0"/>
              <w:rPr>
                <w:sz w:val="20"/>
                <w:szCs w:val="20"/>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76,065</w:t>
            </w:r>
          </w:p>
        </w:tc>
        <w:tc>
          <w:tcPr>
            <w:tcW w:w="12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131,398</w:t>
            </w:r>
          </w:p>
        </w:tc>
        <w:tc>
          <w:tcPr>
            <w:tcW w:w="120" w:type="dxa"/>
            <w:vAlign w:val="bottom"/>
          </w:tcPr>
          <w:p>
            <w:pPr>
              <w:spacing w:after="0"/>
              <w:rPr>
                <w:sz w:val="20"/>
                <w:szCs w:val="20"/>
                <w:color w:val="auto"/>
              </w:rPr>
            </w:pPr>
          </w:p>
        </w:tc>
        <w:tc>
          <w:tcPr>
            <w:tcW w:w="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137,349</w:t>
            </w:r>
          </w:p>
        </w:tc>
        <w:tc>
          <w:tcPr>
            <w:tcW w:w="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RECONCILIATION OF CASH, CASH EQUIVALENTS AND RESTRICTED</w:t>
            </w: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CASH:</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Cash and cash equivalents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71,870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127,566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133,517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Restricted cash................................................................................................................</w:t>
            </w: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4,195</w:t>
            </w:r>
          </w:p>
        </w:tc>
        <w:tc>
          <w:tcPr>
            <w:tcW w:w="1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3,832</w:t>
            </w:r>
          </w:p>
        </w:tc>
        <w:tc>
          <w:tcPr>
            <w:tcW w:w="1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3,832</w:t>
            </w:r>
          </w:p>
        </w:tc>
        <w:tc>
          <w:tcPr>
            <w:tcW w:w="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........................................................Totalcash,cashequivalents,andrestrictedcash</w:t>
            </w:r>
          </w:p>
        </w:tc>
        <w:tc>
          <w:tcPr>
            <w:tcW w:w="20" w:type="dxa"/>
            <w:vAlign w:val="bottom"/>
          </w:tcPr>
          <w:p>
            <w:pPr>
              <w:spacing w:after="0"/>
              <w:rPr>
                <w:sz w:val="20"/>
                <w:szCs w:val="20"/>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76,065</w:t>
            </w:r>
          </w:p>
        </w:tc>
        <w:tc>
          <w:tcPr>
            <w:tcW w:w="12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131,398</w:t>
            </w:r>
          </w:p>
        </w:tc>
        <w:tc>
          <w:tcPr>
            <w:tcW w:w="120" w:type="dxa"/>
            <w:vAlign w:val="bottom"/>
          </w:tcPr>
          <w:p>
            <w:pPr>
              <w:spacing w:after="0"/>
              <w:rPr>
                <w:sz w:val="20"/>
                <w:szCs w:val="20"/>
                <w:color w:val="auto"/>
              </w:rPr>
            </w:pPr>
          </w:p>
        </w:tc>
        <w:tc>
          <w:tcPr>
            <w:tcW w:w="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137,349</w:t>
            </w:r>
          </w:p>
        </w:tc>
        <w:tc>
          <w:tcPr>
            <w:tcW w:w="8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SUPPLEMENTAL CASH FLOW INFORMATION:</w:t>
            </w: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Operating lease right-of-use assets obtained in exchange for lease obligations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Purchases of property and equipment included in accounts payable and accrued</w:t>
            </w:r>
          </w:p>
        </w:tc>
        <w:tc>
          <w:tcPr>
            <w:tcW w:w="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liabilities..........................................................................................................................</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Cash received for tenant improvement allowances</w:t>
            </w:r>
          </w:p>
        </w:tc>
        <w:tc>
          <w:tcPr>
            <w:tcW w:w="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vMerge w:val="continue"/>
          </w:tcPr>
          <w:p>
            <w:pPr>
              <w:jc w:val="right"/>
              <w:ind w:right="8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891</w:t>
            </w:r>
          </w:p>
        </w:tc>
        <w:tc>
          <w:tcPr>
            <w:tcW w:w="12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7,509</w:t>
            </w:r>
          </w:p>
        </w:tc>
        <w:tc>
          <w:tcPr>
            <w:tcW w:w="120" w:type="dxa"/>
            <w:vAlign w:val="bottom"/>
          </w:tcPr>
          <w:p>
            <w:pPr>
              <w:spacing w:after="0"/>
              <w:rPr>
                <w:sz w:val="19"/>
                <w:szCs w:val="19"/>
                <w:color w:val="auto"/>
              </w:rPr>
            </w:pPr>
          </w:p>
        </w:tc>
        <w:tc>
          <w:tcPr>
            <w:tcW w:w="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12,547</w:t>
            </w:r>
          </w:p>
        </w:tc>
        <w:tc>
          <w:tcPr>
            <w:tcW w:w="8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Derecognition of operating lease right-of-use assets for lease termination and</w:t>
            </w: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modification ....................................................................................................................</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(2,724)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(7,261)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(14,204)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-6886575</wp:posOffset>
            </wp:positionV>
            <wp:extent cx="23869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extLst>
                    </a:blip>
                    <a:srcRect/>
                    <a:stretch>
                      <a:fillRect/>
                    </a:stretch>
                  </pic:blipFill>
                  <pic:spPr bwMode="auto">
                    <a:xfrm>
                      <a:off x="0" y="0"/>
                      <a:ext cx="2386965" cy="3810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157</w:t>
      </w:r>
    </w:p>
    <w:p>
      <w:pPr>
        <w:sectPr>
          <w:pgSz w:w="11880" w:h="15480" w:orient="portrait"/>
          <w:cols w:equalWidth="0" w:num="1">
            <w:col w:w="10800"/>
          </w:cols>
          <w:pgMar w:left="540" w:top="746" w:right="540" w:bottom="0" w:gutter="0" w:footer="0" w:header="0"/>
          <w:type w:val="continuous"/>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Sana Biotechnology,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Organization</w:t>
      </w:r>
    </w:p>
    <w:p>
      <w:pPr>
        <w:spacing w:after="0" w:line="124"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Sana Biotechnology, Inc. (the Company or Sana) is a biotechnology company focusing on utilizing engineered cells as medicines. The Company’s operations to date have included identifying and developing potential product candidates, executing preclinical studies, establishing manufacturing capabilities, preparing for and executing clinical trials of its product candidates and supporting clinical trials of product candidates developed using its technologies, acquiring technologies, staffing the Company, business planning, establishing and maintaining the Company’s intellectual property portfolio, raising capital, and providing general and administrative support for these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Liquidity and capital resources</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The Company is subject to a number of risks and uncertainties similar to other biotechnology companies in the development stage, including, but not limited to, those related to the need to obtain adequate additional funding, possible failure of preclinical testing or clinical trials, the need to obtain marketing approval for its product candidates, building its manufacturing capabilities, competitors developing new technological innovations, the need to successfully commercialize and gain market acceptance of the Company’s products, the need to protect the Company’s intellectual property and proprietary technologies, and the need to attract and retain key scientific and management personnel. If the Company does not successfully commercialize or partner any of its product candidates, it will be unable to generate product revenue or achieve profitability. Until such time as the Company can generate significant revenue from product sales, if ever, it expects to finance its operations with the proceeds from additional equity or debt financings or capital obtained in connection with strategic collaborations or licensing or other arrangements. In the event that additional financing is required, the Company may not be able to raise capital on terms acceptable to it or at all.</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March 2026, the Company entered into an amended and restated sales agreement (the Sales Agreement) with TD Securities (USA) LLC (TD Cowen), acting as sales agent, pursuant to which it may offer and sell through TD Cowen shares of the Company's common stock from time to time in a series of one or more at the market equity offerings. The Company initially intends to offer and sell up to $150.0 million of shares of the Company's common stock under the Sales Agreement pursuant to a prospectus supplement to be filed with the SEC (collectively, the ATM facility). The Sales Agreement amends and restates the Company's prior sales agreement with TD Cowen entered into in May 2025 (the Prior Sales Agreement). During the quarter and year ended December 31, 2025, the Company sold an aggregate of 3.9 million shares and 11.3 million shares of the Company's common stock, respectively, under the Prior Sales Agreement, for net proceeds of approximately $17.0 million and $45.8 million, respectively, after deducting commissions and expenses.</w:t>
      </w:r>
    </w:p>
    <w:p>
      <w:pPr>
        <w:spacing w:after="0" w:line="206"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w:t>
      </w:r>
    </w:p>
    <w:p>
      <w:pPr>
        <w:spacing w:after="0" w:line="19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February 2024, the Company completed an underwritten public offering pursuant to which it sold 21.8 million shares of its common stock, including 4.5 million shares pursuant to the full exercise of the underwriters' option to purchase additional shares, and pre-funded warrants to purchase 12.7 million shares of its common stock for net proceeds of approximately $180.0 million, after deducting underwriting discounts and commissions and offering expenses.</w:t>
      </w:r>
    </w:p>
    <w:p>
      <w:pPr>
        <w:spacing w:after="0" w:line="19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The Company has incurred operating losses each year since inception and expects such losses to continue for the foreseeable future. As of December 31, 2025, the Company had cash, cash equivalents, and marketable securities of $138.4 million, and an accumulated deficit of $1.8 billion, which includes cumulative non-cash charges related to the revaluation of the success payment liabilities and contingent consideration of $16.8 million and $72.5 million, respectively. Management has determined that the Company's current capital resources may not be sufficient to fund its planned operations for at least one year from the date of this Annual Report, and </w:t>
      </w:r>
      <w:r>
        <w:rPr>
          <w:rFonts w:ascii="Times New Roman" w:cs="Times New Roman" w:eastAsia="Times New Roman" w:hAnsi="Times New Roman"/>
          <w:sz w:val="20"/>
          <w:szCs w:val="20"/>
          <w:color w:val="5E5F61"/>
        </w:rPr>
        <w:t>there is substantial doubt as to the Company's ability to continue as a going concern</w:t>
      </w:r>
      <w:r>
        <w:rPr>
          <w:rFonts w:ascii="Times New Roman" w:cs="Times New Roman" w:eastAsia="Times New Roman" w:hAnsi="Times New Roman"/>
          <w:sz w:val="20"/>
          <w:szCs w:val="20"/>
          <w:color w:val="231F20"/>
        </w:rPr>
        <w:t>. The Company's ability to continue as a going concern will depend on, among other things, its ability to obtain additional funding and appropriately manage the amount of cash used to fund its operations. The Company plans to address this condition through equity or debt offerings or capital obtained in connection with strategic collaborations or licensing or other arrangements. If the Company is unable to obtain such financing, it may be required to pursue alternative sources of capital which may not be available to it on favorable terms, significantly modify its operational plans by delaying, reducing the scope of, or ceasing some or all of its research and development programs, or pursue strategic alternatives.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158</w:t>
      </w:r>
    </w:p>
    <w:p>
      <w:pPr>
        <w:sectPr>
          <w:pgSz w:w="11880" w:h="15480" w:orient="portrait"/>
          <w:cols w:equalWidth="0" w:num="1">
            <w:col w:w="10780"/>
          </w:cols>
          <w:pgMar w:left="540" w:top="746" w:right="560" w:bottom="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color w:val="231F20"/>
        </w:rPr>
        <w:t>2. Summary of significant accounting policies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The accompanying consolidated financial statements include the accounts of the Company and its wholly-owned subsidiaries, and have been prepared in accordance with generally accepted accounting principles in the United States (GAAP). Certain prior period amounts have been reclassified to conform to current period presentation.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preparation of the financial statements in conformity with GAAP requires management to make estimates and assumptions that affect the amounts reported in the financial statements and accompanying notes. The Company evaluates its estimates and assumptions on an ongoing basis using historical experience and other factors and adjusts those estimates and assumptions when facts and circumstances dictate. Actual results could materially differ from those estimates. The most significant estimates in the Company’s consolidated financial statements relate to success payment liabilities, contingent consideration, business combinations, accrued expenses, and operating lease right-of-use (ROU) assets and liabilities.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2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231F20"/>
        </w:rPr>
        <w:t>Cash and cash equivalents include cash and highly liquid investments with original maturities of three months or less at acquisition. Cash equivalents include investments in money market funds with commercial banks and financial institutions and are stated at fair value.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Marketable securities</w:t>
      </w:r>
    </w:p>
    <w:p>
      <w:pPr>
        <w:spacing w:after="0" w:line="120"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231F20"/>
        </w:rPr>
        <w:t>Marketable securities are classified as available-for-sale debt securities and are carried at fair value, which is derived from independent pricing sources based on quoted prices in active markets for similar securities. Investments in securities with maturities of less than one year, or those for which management intends to use to fund current operations, are included in current assets. Unrealized gains and losses that are deemed to be temporary in nature are reported as a component of accumulated comprehensive income (loss). Amortization, accretion, and dividends are included in interest income, net on the consolidated statement of operations. The cost of securities sold is based on the specific-identification method. Each reporting period, the Company evaluates whether declines in fair value below carrying value are due to expected credit losses, as well as the Company’s ability and intent to hold the investment until a forecasted recovery occurs. Expected credit losses are recorded as an allowance through other income (expense), net.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Concentrations of credit risk and off-balance sheet risk</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Company maintains its cash, cash equivalents, and marketable securities with high quality, accredited financial institutions. These amounts, at times, may exceed federally insured limits. The Company has not experienced any credit losses in such accounts and does not believe it is exposed to significant risk on these funds. The Company has no off-balance sheet concentrations of credit risk, such as foreign currency exchange contracts, option contracts, or other hedging arrangements.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Company accounts for certain assets and liabilities at fair value and is required to disclose information that enables an assessment of the inputs used in determining the reported fair values. The fair value hierarchy prioritizes valuation inputs based on the observable nature of those inputs. The hierarchy applies only to the valuation inputs used to determine the reported fair value of the investments and is not a measure of the investment credit quality. The hierarchy defines three levels of valuation inputs: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Level 1 – Quoted prices in active markets for identical assets or liabilities.</w:t>
      </w:r>
    </w:p>
    <w:p>
      <w:pPr>
        <w:spacing w:after="0" w:line="120" w:lineRule="exact"/>
        <w:rPr>
          <w:sz w:val="20"/>
          <w:szCs w:val="20"/>
          <w:color w:val="auto"/>
        </w:rPr>
      </w:pPr>
    </w:p>
    <w:p>
      <w:pPr>
        <w:ind w:left="500" w:right="140"/>
        <w:spacing w:after="0" w:line="277" w:lineRule="auto"/>
        <w:rPr>
          <w:sz w:val="20"/>
          <w:szCs w:val="20"/>
          <w:color w:val="auto"/>
        </w:rPr>
      </w:pPr>
      <w:r>
        <w:rPr>
          <w:rFonts w:ascii="Times New Roman" w:cs="Times New Roman" w:eastAsia="Times New Roman" w:hAnsi="Times New Roman"/>
          <w:sz w:val="20"/>
          <w:szCs w:val="20"/>
          <w:color w:val="231F20"/>
        </w:rPr>
        <w:t>Level 2 – Inputs other than quoted prices included within Level 1 that are observable for the asset or liability, either directly or indirectly.</w:t>
      </w:r>
    </w:p>
    <w:p>
      <w:pPr>
        <w:spacing w:after="0" w:line="49" w:lineRule="exact"/>
        <w:rPr>
          <w:sz w:val="20"/>
          <w:szCs w:val="20"/>
          <w:color w:val="auto"/>
        </w:rPr>
      </w:pPr>
    </w:p>
    <w:p>
      <w:pPr>
        <w:ind w:left="500" w:right="260"/>
        <w:spacing w:after="0" w:line="277" w:lineRule="auto"/>
        <w:rPr>
          <w:sz w:val="20"/>
          <w:szCs w:val="20"/>
          <w:color w:val="auto"/>
        </w:rPr>
      </w:pPr>
      <w:r>
        <w:rPr>
          <w:rFonts w:ascii="Times New Roman" w:cs="Times New Roman" w:eastAsia="Times New Roman" w:hAnsi="Times New Roman"/>
          <w:sz w:val="20"/>
          <w:szCs w:val="20"/>
          <w:color w:val="231F20"/>
        </w:rPr>
        <w:t>Level 3 – Unobservable inputs that reflect the Company’s own assumptions about the assumptions market participants would use in pricing the asset or liability.</w:t>
      </w:r>
    </w:p>
    <w:p>
      <w:pPr>
        <w:spacing w:after="0" w:line="16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Company’s financial instruments include cash and cash equivalents, short- and long-term marketable securities, accounts payable, contingent consideration, success payment liabilities, and other accrued liabilities. The carrying amounts of cash, cash equivalents, accounts payable, and accrued liabilities approximate fair value due to the short-term nature of these instruments. To the extent the valuation of financial instruments is based on models or inputs that are less observable or unobservable in the market, the</w:t>
      </w:r>
    </w:p>
    <w:p>
      <w:pPr>
        <w:sectPr>
          <w:pgSz w:w="11880" w:h="15480" w:orient="portrait"/>
          <w:cols w:equalWidth="0" w:num="1">
            <w:col w:w="10780"/>
          </w:cols>
          <w:pgMar w:left="540" w:top="746" w:right="560" w:bottom="0" w:gutter="0" w:footer="0" w:header="0"/>
        </w:sect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159</w:t>
      </w:r>
    </w:p>
    <w:p>
      <w:pPr>
        <w:sectPr>
          <w:pgSz w:w="11880" w:h="15480" w:orient="portrait"/>
          <w:cols w:equalWidth="0" w:num="1">
            <w:col w:w="10780"/>
          </w:cols>
          <w:pgMar w:left="540" w:top="746" w:right="560" w:bottom="0" w:gutter="0" w:footer="0" w:header="0"/>
          <w:type w:val="continuous"/>
        </w:sectPr>
      </w:pPr>
    </w:p>
    <w:bookmarkStart w:id="165" w:name="page166"/>
    <w:bookmarkEnd w:id="165"/>
    <w:p>
      <w:pPr>
        <w:jc w:val="both"/>
        <w:ind w:right="240"/>
        <w:spacing w:after="0" w:line="258" w:lineRule="auto"/>
        <w:rPr>
          <w:sz w:val="20"/>
          <w:szCs w:val="20"/>
          <w:color w:val="auto"/>
        </w:rPr>
      </w:pPr>
      <w:r>
        <w:rPr>
          <w:rFonts w:ascii="Times New Roman" w:cs="Times New Roman" w:eastAsia="Times New Roman" w:hAnsi="Times New Roman"/>
          <w:sz w:val="20"/>
          <w:szCs w:val="20"/>
          <w:color w:val="231F20"/>
        </w:rPr>
        <w:t>determination of fair value requires more judgment. Accordingly, the degree of judgment exercised by the Company in determining fair value is greatest for instruments categorized in Level 3. See Note 7, Fair value measurements for more information on how the Company determines fair value.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Property and equipment are stated at cost, net of accumulated depreciation. Depreciation of property and equipment is computed using the straight-line method over the estimated useful lives of the respective assets, generally three to five years. Leasehold improvements are depreciated over the lesser of their useful lives or the remaining life of the lease. When assets are retired or otherwise disposed of, the cost and related accumulated depreciation are removed from the balance sheet and the resulting gain or loss is recorded in research and development expenses in the period realized. Repairs and maintenance are expensed as incurred.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Company reviews the carrying value and estimated lives of its long-lived assets whenever events or circumstances indicate the carrying values may not be recoverable. Factors that may indicate potential impairment and trigger an impairment test include, but are not limited to, general macroeconomic conditions, conditions specific to the industry and market, business climate or operational performance of the business, and sustained decline in the stock price and market capitalization compared to the net book value.</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If a change in circumstance occurs that indicates long-lived assets may be impaired, the Company performs a test of recoverability by comparing the carrying value of the asset or asset group to its undiscounted expected future cash flows. The long-lived asset evaluation is performed at the asset group level, which is the lowest level for which identifiable cash flows are largely independent of the cash flows of other assets and liabilities. If this review indicates that the carrying amount of the asset group may not be recoverable, an impairment loss is measured as the amount by which the carrying amount of an asset group exceeds its estimated fair value. To measure impairment, the Company uses market participant assumptions to determine the estimated fair value of the asset based on anticipated future cash flows. Any impairment loss is allocated to the long-lived assets of the group on a pro rata basis using the relative carrying amounts of those assets, except that the carrying amount of an individual asset will not be reduced below its fair value.</w:t>
      </w:r>
    </w:p>
    <w:p>
      <w:pPr>
        <w:spacing w:after="0" w:line="206"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Calculating the fair value of a reporting unit, an asset group, and an individual asset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impaired.</w:t>
      </w:r>
    </w:p>
    <w:p>
      <w:pPr>
        <w:spacing w:after="0" w:line="19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Impairment of long-lived assets was $44.6 million for the year ended December 31, 2025. The non-cash impairment, recorded in the second quarter of 2025, was primarily related to Sana’s manufacturing facility in Bothell, Washington and certain laboratory and office space in Seattle, Washington. During the fourth quarters of 2024 and 2023, the Company recognized $1.9 million and $7.0 million, respectively, for the impairment of certain laboratory equipment and leasehold improvements as a result of the portfolio prioritizations in the fourth quarters of 2024 and 2023, previously included in research and development expense in the statement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Company accounts for business combinations using the acquisition method of accounting, which requires the assets acquired, including in-process research and development (IPR&amp;D), and liabilities assumed be recorded at fair value as of the acquisition date. Any excess of the purchase price over the fair value of net assets acquired is recorded as goodwill. The determination of the estimated fair value of these items requires significant estimates and assumptions. Transaction costs associated with business combinations are recorded in general and administrative expense as they are incurred.</w:t>
      </w:r>
    </w:p>
    <w:p>
      <w:pPr>
        <w:spacing w:after="0" w:line="197" w:lineRule="exact"/>
        <w:rPr>
          <w:sz w:val="20"/>
          <w:szCs w:val="20"/>
          <w:color w:val="auto"/>
        </w:rPr>
      </w:pPr>
    </w:p>
    <w:p>
      <w:pPr>
        <w:jc w:val="both"/>
        <w:ind w:right="100" w:firstLine="490"/>
        <w:spacing w:after="0" w:line="252" w:lineRule="auto"/>
        <w:rPr>
          <w:sz w:val="20"/>
          <w:szCs w:val="20"/>
          <w:color w:val="auto"/>
        </w:rPr>
      </w:pPr>
      <w:r>
        <w:rPr>
          <w:rFonts w:ascii="Times New Roman" w:cs="Times New Roman" w:eastAsia="Times New Roman" w:hAnsi="Times New Roman"/>
          <w:sz w:val="20"/>
          <w:szCs w:val="20"/>
          <w:color w:val="231F20"/>
        </w:rPr>
        <w:t>If the Company determines the acquisition does not meet the definition of a business combination under the acquisition method of accounting, the transaction is accounted for as an asset acquisition. In an asset acquisition, up-front payments allocated to IPR&amp;D are recorded in research and development expense if it is determined that there is no alternative future use, and subsequent milestone payments are recorded in research and development expense when achieved.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intangible assets</w:t>
      </w:r>
    </w:p>
    <w:p>
      <w:pPr>
        <w:spacing w:after="0" w:line="12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231F20"/>
        </w:rPr>
        <w:t>Goodwill represents the excess of the purchase price over the estimated fair value of the identifiable assets acquired and liabilities assumed in a business combination. The Company evaluates goodwill for impairment annually or when a triggering event occurs that could indicate a potential impairment. The evaluation for impairment includes assessing qualitative factors or performing a</w:t>
      </w:r>
    </w:p>
    <w:p>
      <w:pPr>
        <w:sectPr>
          <w:pgSz w:w="11880" w:h="15480" w:orient="portrait"/>
          <w:cols w:equalWidth="0" w:num="1">
            <w:col w:w="10800"/>
          </w:cols>
          <w:pgMar w:left="540" w:top="750" w:right="540"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160</w:t>
      </w:r>
    </w:p>
    <w:p>
      <w:pPr>
        <w:sectPr>
          <w:pgSz w:w="11880" w:h="15480" w:orient="portrait"/>
          <w:cols w:equalWidth="0" w:num="1">
            <w:col w:w="10800"/>
          </w:cols>
          <w:pgMar w:left="540" w:top="750" w:right="540" w:bottom="0" w:gutter="0" w:footer="0" w:header="0"/>
          <w:type w:val="continuous"/>
        </w:sectPr>
      </w:pPr>
    </w:p>
    <w:bookmarkStart w:id="166" w:name="page167"/>
    <w:bookmarkEnd w:id="166"/>
    <w:p>
      <w:pPr>
        <w:ind w:right="120"/>
        <w:spacing w:after="0" w:line="252" w:lineRule="auto"/>
        <w:rPr>
          <w:sz w:val="20"/>
          <w:szCs w:val="20"/>
          <w:color w:val="auto"/>
        </w:rPr>
      </w:pPr>
      <w:r>
        <w:rPr>
          <w:rFonts w:ascii="Times New Roman" w:cs="Times New Roman" w:eastAsia="Times New Roman" w:hAnsi="Times New Roman"/>
          <w:sz w:val="20"/>
          <w:szCs w:val="20"/>
          <w:color w:val="231F20"/>
        </w:rPr>
        <w:t>quantitative analysis to determine whether it is more-likely-than-not that the fair value of net assets is below the carrying amount. As of December 31, 2025, the Company had goodwill of $140.6 million related to its acquisition of Cobalt Biomedicine, Inc. (Cobalt) in 2019 (the Cobalt acquisition), which represents the excess of the purchase price over the estimated fair value of the net assets acquired. There have been no impairments of goodwill since the acquisition.</w:t>
      </w:r>
    </w:p>
    <w:p>
      <w:pPr>
        <w:spacing w:after="0" w:line="19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Intangible assets acquired in a business combination are recognized separately from goodwill and are initially recognized at fair value at the acquisition date. The fair value of the IPR&amp;D is estimated using the replacement cost method. Under this method, the Company estimates the cost to recreate the technology and derive an estimated value to develop the technology. IPR&amp;D assets are required to be classified as indefinite-lived assets and are not amortized until they become finite-lived assets upon the successful completion of the associated research and development technology. At that time, the useful life of the asset will be determined, and amortization will begin. If the associated research and development technology is abandoned, the related IPR&amp;D asset will be written off and an impairment charge recorded. Intangible assets are reviewed for impairment at least annually or when a triggering event occurs that could indicate a potential impairment. There has been no amortization or impairment of the intangible asset since the Cobalt acquisition.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 from business combinations</w:t>
      </w:r>
    </w:p>
    <w:p>
      <w:pPr>
        <w:spacing w:after="0" w:line="12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Contingent consideration from a business combination is recorded at fair value on the acquisition date and remeasured at each subsequent reporting period with changes in fair value recognized in research and development related success payments and contingent consideration. Changes in fair values reflect changes to the Company’s assumptions regarding probabilities of successful achievement of related milestones, the timing in which the milestones are expected to be achieved, and the discount rate used to estimate the fair value of the obligation.</w:t>
      </w:r>
    </w:p>
    <w:p>
      <w:pPr>
        <w:spacing w:after="0" w:line="197"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Pursuant to the terms and conditions of the Cobalt acquisition agreement, we are obligated to pay to certain former Cobalt stockholders contingent consideration (Cobalt Contingent Consideration). See Note 4, Acquisitions for more details on the Cobalt Contingent Consideration.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Success payments</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Company agreed to pay success payments to Cobalt (Cobalt Success Payment) pursuant to the terms of its acquisition agreement with Cobalt and to the President and Fellows of Harvard College (Harvard) (Harvard Success Payments) pursuant to the terms of its exclusive license agreement with Harvard. See Note 4, Acquisitions and Note 5, License and collaboration agreements for more details on the success payments.</w:t>
      </w:r>
    </w:p>
    <w:p>
      <w:pPr>
        <w:spacing w:after="0" w:line="19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The success payments are accounted for under Accounting Standards Codification (ASC) 815, </w:t>
      </w:r>
      <w:r>
        <w:rPr>
          <w:rFonts w:ascii="Times New Roman" w:cs="Times New Roman" w:eastAsia="Times New Roman" w:hAnsi="Times New Roman"/>
          <w:sz w:val="20"/>
          <w:szCs w:val="20"/>
          <w:i w:val="1"/>
          <w:iCs w:val="1"/>
          <w:color w:val="231F20"/>
        </w:rPr>
        <w:t>Derivatives and Hedging</w:t>
      </w:r>
      <w:r>
        <w:rPr>
          <w:rFonts w:ascii="Times New Roman" w:cs="Times New Roman" w:eastAsia="Times New Roman" w:hAnsi="Times New Roman"/>
          <w:sz w:val="20"/>
          <w:szCs w:val="20"/>
          <w:color w:val="231F20"/>
        </w:rPr>
        <w:t>. The Cobalt Success Payment was recorded as a liability on the consolidated balance sheet at fair value on the acquisition date and is remeasured at each subsequent reporting period, with changes in fair value recognized in research and development related success payments and contingent consideration. For the Harvard Success Payments, both the initial value and subsequent changes in fair value are recorded in research and development related success payments and contingent consideration.</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To determine the estimated fair value of the success payment liabilities, the Company uses a Monte Carlo simulation methodology, which models the value of the liabilities based on several key assumptions, including the remaining terms of the success payments, risk-free interest rate, estimated number and timing of valuation measurement dates on the basis of which payments may be triggered, and expected volatility of the Company’s common stock. Expected volatility is estimated using the volatility of peer companies for a period of time commensurate with the remaining terms of the success payments. Additionally, the computation of the estimated fair value of the Cobalt Success Payment liability incorporates the market capitalization of the Company at the end of each reporting period, and the computation of the estimated fair value of the Harvard Success Payments incorporates the per share fair market value of the Company’s common stock at the end of each reporting period.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At the inception of an arrangement with a third party, the Company determines whether the arrangement is or contains a lease based on the unique facts and circumstances present in the arrangement. Lease liabilities represent an obligation to make payments arising from a lease and are measured at the present value of the remaining future lease payments over the term of the lease. The present value of the lease payments is determined using an incremental borrowing rate (IBR), which reflects the fixed rate at which the Company could borrow the amount of the lease payments, on a collateralized basis, for a similar term and economic environment. The lease terms may include the impact of options to extend or terminate the lease when it is reasonably certain that the Company will exercise the option. Assumptions made by the Company at the lease commencement date are re-evaluated upon the occurrence of certain events, including a lease modification. When a lease modification results in a separate contract, it is accounted for in the same</w:t>
      </w:r>
    </w:p>
    <w:p>
      <w:pPr>
        <w:sectPr>
          <w:pgSz w:w="11880" w:h="15480" w:orient="portrait"/>
          <w:cols w:equalWidth="0" w:num="1">
            <w:col w:w="10800"/>
          </w:cols>
          <w:pgMar w:left="540" w:top="750" w:right="540" w:bottom="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161</w:t>
      </w:r>
    </w:p>
    <w:p>
      <w:pPr>
        <w:sectPr>
          <w:pgSz w:w="11880" w:h="15480" w:orient="portrait"/>
          <w:cols w:equalWidth="0" w:num="1">
            <w:col w:w="10800"/>
          </w:cols>
          <w:pgMar w:left="540" w:top="750" w:right="540" w:bottom="0" w:gutter="0" w:footer="0" w:header="0"/>
          <w:type w:val="continuous"/>
        </w:sectPr>
      </w:pPr>
    </w:p>
    <w:bookmarkStart w:id="167" w:name="page168"/>
    <w:bookmarkEnd w:id="167"/>
    <w:p>
      <w:pPr>
        <w:ind w:right="80"/>
        <w:spacing w:after="0" w:line="258" w:lineRule="auto"/>
        <w:rPr>
          <w:sz w:val="20"/>
          <w:szCs w:val="20"/>
          <w:color w:val="auto"/>
        </w:rPr>
      </w:pPr>
      <w:r>
        <w:rPr>
          <w:rFonts w:ascii="Times New Roman" w:cs="Times New Roman" w:eastAsia="Times New Roman" w:hAnsi="Times New Roman"/>
          <w:sz w:val="20"/>
          <w:szCs w:val="20"/>
          <w:color w:val="231F20"/>
        </w:rPr>
        <w:t>manner as a new lease. ROU assets represent the right to use the underlying asset identified in the lease for the term of the agreement. The calculation of the ROU asset incorporates the value of the lease liability and excludes any lease incentives received and initial direct costs incurred.</w:t>
      </w:r>
    </w:p>
    <w:p>
      <w:pPr>
        <w:spacing w:after="0" w:line="18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Company’s lease portfolio consists of operating leases related to its facilities for office, laboratory, and manufacturing space. The Company does not have any financing leases. Leases with a term of 12 months or less are considered short-term and do not require recognition on the balance sheet, and payments associated with short-term leases are expensed as incurred. Rent expense for operating leases is recognized on a straight-line basis over the lease term.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Claims and contingencies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From time to time, the Company has and may in the future become involved in litigation and proceedings relating to claims arising in the ordinary course of business. The Company accrues a liability if the likelihood of an adverse outcome is probable, and the amount can be reasonably estimated. If the likelihood of an adverse outcome is only reasonably possible, or if an adverse outcome is probable, but an estimate is not determinable, the Company provides disclosure of the material claim or contingency.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Company recognizes compensation costs related to restricted stock awards (RSAs), restricted stock units (RSUs), and stock options granted to employees and nonemployees based on the estimated fair value of the awards on the date of grant and recognizes expense on a straight-line basis over the requisite service period, which is generally the vesting period of the award. Forfeitures are recognized as they occur. For RSAs and RSUs, the fair value of the Company’s common stock is used to determine the resulting stock-based compensation expense. The fair value of stock options is estimated on the date of grant using a Black-Scholes option pricing model which requires management to apply judgment and make estimates, including:</w:t>
      </w:r>
    </w:p>
    <w:p>
      <w:pPr>
        <w:spacing w:after="0" w:line="94" w:lineRule="exact"/>
        <w:rPr>
          <w:sz w:val="20"/>
          <w:szCs w:val="20"/>
          <w:color w:val="auto"/>
        </w:rPr>
      </w:pPr>
    </w:p>
    <w:p>
      <w:pPr>
        <w:ind w:left="980" w:right="220" w:hanging="490"/>
        <w:spacing w:after="0" w:line="276" w:lineRule="auto"/>
        <w:tabs>
          <w:tab w:leader="none" w:pos="980" w:val="left"/>
        </w:tabs>
        <w:numPr>
          <w:ilvl w:val="0"/>
          <w:numId w:val="8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Fair Value of Common Stock</w:t>
      </w:r>
      <w:r>
        <w:rPr>
          <w:rFonts w:ascii="Times New Roman" w:cs="Times New Roman" w:eastAsia="Times New Roman" w:hAnsi="Times New Roman"/>
          <w:sz w:val="20"/>
          <w:szCs w:val="20"/>
          <w:color w:val="231F20"/>
        </w:rPr>
        <w:t>—The fair value of common stock is based on the closing price as reported on The Nasdaq</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Global Select Market on the date of grant.</w:t>
      </w:r>
    </w:p>
    <w:p>
      <w:pPr>
        <w:spacing w:after="0" w:line="64" w:lineRule="exact"/>
        <w:rPr>
          <w:rFonts w:ascii="Arial" w:cs="Arial" w:eastAsia="Arial" w:hAnsi="Arial"/>
          <w:sz w:val="20"/>
          <w:szCs w:val="20"/>
          <w:color w:val="231F20"/>
        </w:rPr>
      </w:pPr>
    </w:p>
    <w:p>
      <w:pPr>
        <w:ind w:left="980" w:right="40" w:hanging="490"/>
        <w:spacing w:after="0" w:line="258" w:lineRule="auto"/>
        <w:tabs>
          <w:tab w:leader="none" w:pos="980" w:val="left"/>
        </w:tabs>
        <w:numPr>
          <w:ilvl w:val="0"/>
          <w:numId w:val="8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Term</w:t>
      </w:r>
      <w:r>
        <w:rPr>
          <w:rFonts w:ascii="Times New Roman" w:cs="Times New Roman" w:eastAsia="Times New Roman" w:hAnsi="Times New Roman"/>
          <w:sz w:val="20"/>
          <w:szCs w:val="20"/>
          <w:color w:val="231F20"/>
        </w:rPr>
        <w:t>—The expected term represents the period that a stock-based award is expected to be outstanding.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 uses the simplified method to determine the expected term, which is based on the average of the time-to-vesting and the contractual life of the option.</w:t>
      </w:r>
    </w:p>
    <w:p>
      <w:pPr>
        <w:spacing w:after="0" w:line="81" w:lineRule="exact"/>
        <w:rPr>
          <w:rFonts w:ascii="Arial" w:cs="Arial" w:eastAsia="Arial" w:hAnsi="Arial"/>
          <w:sz w:val="20"/>
          <w:szCs w:val="20"/>
          <w:color w:val="231F20"/>
        </w:rPr>
      </w:pPr>
    </w:p>
    <w:p>
      <w:pPr>
        <w:ind w:left="980" w:right="40" w:hanging="490"/>
        <w:spacing w:after="0" w:line="247" w:lineRule="auto"/>
        <w:tabs>
          <w:tab w:leader="none" w:pos="980" w:val="left"/>
        </w:tabs>
        <w:numPr>
          <w:ilvl w:val="0"/>
          <w:numId w:val="8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Volatility</w:t>
      </w:r>
      <w:r>
        <w:rPr>
          <w:rFonts w:ascii="Times New Roman" w:cs="Times New Roman" w:eastAsia="Times New Roman" w:hAnsi="Times New Roman"/>
          <w:sz w:val="20"/>
          <w:szCs w:val="20"/>
          <w:color w:val="231F20"/>
        </w:rPr>
        <w:t>—Due to the Company's limited operating history, the expected volatility is estimated based on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average historical volatilities of common stock of comparable publicly traded companies and the Company's historical common stock volatility over a period of time commensurate with the expected term of the stock option grants. The comparable companies are chosen based on their size, stage in the product development cycle, or area of specialty. The Company will continue to apply this process until sufficient historical information regarding the volatility of its own stock price becomes available.</w:t>
      </w:r>
    </w:p>
    <w:p>
      <w:pPr>
        <w:spacing w:after="0" w:line="93" w:lineRule="exact"/>
        <w:rPr>
          <w:rFonts w:ascii="Arial" w:cs="Arial" w:eastAsia="Arial" w:hAnsi="Arial"/>
          <w:sz w:val="20"/>
          <w:szCs w:val="20"/>
          <w:color w:val="231F20"/>
        </w:rPr>
      </w:pPr>
    </w:p>
    <w:p>
      <w:pPr>
        <w:ind w:left="980" w:right="340" w:hanging="490"/>
        <w:spacing w:after="0" w:line="276" w:lineRule="auto"/>
        <w:tabs>
          <w:tab w:leader="none" w:pos="980" w:val="left"/>
        </w:tabs>
        <w:numPr>
          <w:ilvl w:val="0"/>
          <w:numId w:val="8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Risk-Free Interest Rate—</w:t>
      </w:r>
      <w:r>
        <w:rPr>
          <w:rFonts w:ascii="Times New Roman" w:cs="Times New Roman" w:eastAsia="Times New Roman" w:hAnsi="Times New Roman"/>
          <w:sz w:val="20"/>
          <w:szCs w:val="20"/>
          <w:color w:val="231F20"/>
        </w:rPr>
        <w:t>The risk-free interest rate is based on the U.S. Treasury yield in effect at the time of grant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zero-coupon U.S. Treasury notes with maturities approximately equal to the expected term of the awards.</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8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Dividend—</w:t>
      </w:r>
      <w:r>
        <w:rPr>
          <w:rFonts w:ascii="Times New Roman" w:cs="Times New Roman" w:eastAsia="Times New Roman" w:hAnsi="Times New Roman"/>
          <w:sz w:val="20"/>
          <w:szCs w:val="20"/>
          <w:color w:val="231F20"/>
        </w:rPr>
        <w:t>The Company has never paid dividends on its common stock and has no plans to pay dividends on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common stock. Therefore, the Company used an expected dividend yield of zero.</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Company records expense for research and development costs as incurred. Nonrefundable, advance payments for goods or contracts for services are deferred, and expense is recognized in the period in which the goods are received or the services are rendered. Research and development expense consists of personnel-related costs, including salaries, benefits, and non-cash stock-based compensation, external research and development expenses incurred under arrangements with third parties, including CDMO manufacturing costs (including pass-through costs), clinical trial costs, costs for laboratory supplies, costs to acquire and license technologies aligned with the Company’s </w:t>
      </w:r>
      <w:r>
        <w:rPr>
          <w:rFonts w:ascii="Times New Roman" w:cs="Times New Roman" w:eastAsia="Times New Roman" w:hAnsi="Times New Roman"/>
          <w:sz w:val="20"/>
          <w:szCs w:val="20"/>
          <w:i w:val="1"/>
          <w:iCs w:val="1"/>
          <w:color w:val="231F20"/>
        </w:rPr>
        <w:t>ex vivo</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cell engineering platforms, facility expenses, including rent, depreciation, and costs related to the impairment of certain lab equipment and leasehold improvements, and other allocated expenses.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related success payments and contingent consideration</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Research and development related success payments and contingent consideration include the change in the estimated fair value of the Cobalt Success Payment and Harvard Success Payment liabilities and Cobalt Contingent Consideration. Research and development expense related to the success payment liabilities and contingent consideration is unpredictable and may vary significantly from quarter-to-quarter and year-to-year due to changes in the assumptions used in the calculations.</w:t>
      </w:r>
    </w:p>
    <w:p>
      <w:pPr>
        <w:sectPr>
          <w:pgSz w:w="11880" w:h="15480" w:orient="portrait"/>
          <w:cols w:equalWidth="0" w:num="1">
            <w:col w:w="10800"/>
          </w:cols>
          <w:pgMar w:left="540" w:top="750" w:right="540"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162</w:t>
      </w:r>
    </w:p>
    <w:p>
      <w:pPr>
        <w:sectPr>
          <w:pgSz w:w="11880" w:h="15480" w:orient="portrait"/>
          <w:cols w:equalWidth="0" w:num="1">
            <w:col w:w="10800"/>
          </w:cols>
          <w:pgMar w:left="540" w:top="750" w:right="540"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General and administrative expenses consist of personnel costs, including salaries, benefits, and non-cash stock-based compensation, for employees in finance, legal, executive, human resources, information technology, and other administrative functions, legal and consulting fees, recruiting costs, restructuring expenses, and facility costs not otherwise included in research and development expenses. Legal fees include those related to corporate and patent matters.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determines its deferred tax assets and liabilities based on the differences between the financial statement and tax bases of assets and liabilities using enacted tax rates in effect for the year in which the differences are expected to reverse. A valuation allowance is recorded when it is more likely than not that the deferred tax asset will not be recovered. The Company applies judgment in the determination of the financial statement recognition and measurement of a tax position taken or expected to be taken in a tax return. The Company recognizes any material interest and penalties related to unrecognized tax benefits in income tax expense.</w:t>
      </w:r>
    </w:p>
    <w:p>
      <w:pPr>
        <w:spacing w:after="0" w:line="197"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231F20"/>
        </w:rPr>
        <w:t>The Company is required to file income tax returns in the United States (U.S.) federal jurisdiction, and other state and local jurisdictions. The Company is generally subject to examination by U.S. federal and local income tax authorities for all tax years in which the loss carryforward is available. The Company is currently not under examination by the Internal Revenue Service or other jurisdictions for any tax years.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Segments</w:t>
      </w:r>
    </w:p>
    <w:p>
      <w:pPr>
        <w:spacing w:after="0" w:line="120" w:lineRule="exact"/>
        <w:rPr>
          <w:sz w:val="20"/>
          <w:szCs w:val="20"/>
          <w:color w:val="auto"/>
        </w:rPr>
      </w:pPr>
    </w:p>
    <w:p>
      <w:pPr>
        <w:jc w:val="both"/>
        <w:ind w:right="620" w:firstLine="490"/>
        <w:spacing w:after="0" w:line="258" w:lineRule="auto"/>
        <w:rPr>
          <w:sz w:val="20"/>
          <w:szCs w:val="20"/>
          <w:color w:val="auto"/>
        </w:rPr>
      </w:pPr>
      <w:r>
        <w:rPr>
          <w:rFonts w:ascii="Times New Roman" w:cs="Times New Roman" w:eastAsia="Times New Roman" w:hAnsi="Times New Roman"/>
          <w:sz w:val="20"/>
          <w:szCs w:val="20"/>
          <w:color w:val="231F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JOBS Act accounting election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is an emerging growth company (EGC), as defined in the Jumpstart Our Business Startups Act of 2012 (JOBS Act). Under the JOBS Act, an EGC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however, the Company may adopt new or revised accounting standards early if the standard allows for early adoption.</w:t>
      </w:r>
    </w:p>
    <w:p>
      <w:pPr>
        <w:spacing w:after="0" w:line="197"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In addition, the Company will utilize other exemptions and reduced reporting requirements provided to EGCs by the JOBS Act until the Company no longer qualifies as an EGC. Subject to certain conditions set forth in the JOBS Act, an EGC is not required to, among other things, (i) provide an auditor’s attestation report on the company’s system of internal controls over financial reporting pursuant to Section 404(b) of the Sarbanes-Oxley Act of 2002, (ii) provide all of the compensation disclosure that may be required of non-EGC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From time to time, new accounting pronouncements are issued by the Financial Accounting Standards Board (FASB) or other standard-setting bodies that the Company adopts as of the specified effective date. Unless otherwise discussed, the Company does not believe that the adoption of any recently issued standards has had or may have a material impact on its consolidated financial statements or disclosures.</w:t>
      </w:r>
    </w:p>
    <w:p>
      <w:pPr>
        <w:spacing w:after="0" w:line="19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 (Subtopic 220-40) Reporting Comprehensive Income – Expense Disaggregation Disclosures, which requires disclosure of disaggregated information about specific income statement expense categories. This ASU is effective for annual reporting periods beginning after December 15, 2026, and interim periods beginning after December 15, 2027. Early adoption is permitted. There was no impact on the Company's reportable segment identified and additional required disclosures have been included in Note 3, Segment reporting, to the Company's consolidated financial statements included in this Annual Report.</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163</w:t>
      </w:r>
    </w:p>
    <w:p>
      <w:pPr>
        <w:sectPr>
          <w:pgSz w:w="11880" w:h="15480" w:orient="portrait"/>
          <w:cols w:equalWidth="0" w:num="1">
            <w:col w:w="10760"/>
          </w:cols>
          <w:pgMar w:left="540" w:top="750" w:right="580" w:bottom="0" w:gutter="0" w:footer="0" w:header="0"/>
          <w:type w:val="continuous"/>
        </w:sectPr>
      </w:pPr>
    </w:p>
    <w:bookmarkStart w:id="169" w:name="page170"/>
    <w:bookmarkEnd w:id="169"/>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This ASU is effective for the Company's fiscal year 2025. Early adoption is permitted. There was no material impact and the additional required disclosures have been included in Note 13, Income taxes, to the Company's consolidated financial statements included in this Annual Report.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Segment reporting</w:t>
      </w:r>
    </w:p>
    <w:p>
      <w:pPr>
        <w:spacing w:after="0" w:line="1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Operating segments are identified as components of an enterprise about which separate discrete financial information is available for evaluation by the chief operating decision-maker (CODM), the Company's Chief Executive Officer, in making decisions regarding resource allocation and assessing performance. The Company views its operations and manages its business in one operating segment. When evaluating the Company's financial performance, the CODM reviews total expenses and expenses by function. Further, the CODM reviews the segment's assets based on total assets reported on the consolidated balance sheet.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535355"/>
        </w:rPr>
        <w:t>The table below is a summary of the segment loss, including significant segment expenses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10"/>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Twelve months ended December 31,</w:t>
            </w:r>
          </w:p>
        </w:tc>
      </w:tr>
      <w:tr>
        <w:trPr>
          <w:trHeight w:val="203"/>
        </w:trPr>
        <w:tc>
          <w:tcPr>
            <w:tcW w:w="686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7"/>
                <w:szCs w:val="17"/>
                <w:color w:val="auto"/>
              </w:rPr>
            </w:pPr>
          </w:p>
        </w:tc>
      </w:tr>
      <w:tr>
        <w:trPr>
          <w:trHeight w:val="516"/>
        </w:trPr>
        <w:tc>
          <w:tcPr>
            <w:tcW w:w="6860" w:type="dxa"/>
            <w:vAlign w:val="bottom"/>
          </w:tcPr>
          <w:p>
            <w:pPr>
              <w:jc w:val="right"/>
              <w:ind w:right="5140"/>
              <w:spacing w:after="0"/>
              <w:rPr>
                <w:sz w:val="20"/>
                <w:szCs w:val="20"/>
                <w:color w:val="auto"/>
              </w:rPr>
            </w:pPr>
            <w:r>
              <w:rPr>
                <w:rFonts w:ascii="Times New Roman" w:cs="Times New Roman" w:eastAsia="Times New Roman" w:hAnsi="Times New Roman"/>
                <w:sz w:val="20"/>
                <w:szCs w:val="20"/>
                <w:color w:val="231F20"/>
                <w:w w:val="98"/>
              </w:rPr>
              <w:t>Operating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Research, development, and laboratory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45,696</w:t>
            </w:r>
          </w:p>
        </w:tc>
        <w:tc>
          <w:tcPr>
            <w:tcW w:w="16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86,522</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112,567</w:t>
            </w:r>
          </w:p>
        </w:tc>
        <w:tc>
          <w:tcPr>
            <w:tcW w:w="60" w:type="dxa"/>
            <w:vAlign w:val="bottom"/>
          </w:tcPr>
          <w:p>
            <w:pPr>
              <w:spacing w:after="0"/>
              <w:rPr>
                <w:sz w:val="21"/>
                <w:szCs w:val="21"/>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Facility costs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44,253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49,429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54,778</w:t>
            </w:r>
          </w:p>
        </w:tc>
        <w:tc>
          <w:tcPr>
            <w:tcW w:w="60" w:type="dxa"/>
            <w:vAlign w:val="bottom"/>
          </w:tcPr>
          <w:p>
            <w:pPr>
              <w:spacing w:after="0"/>
              <w:rPr>
                <w:sz w:val="21"/>
                <w:szCs w:val="21"/>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Support functions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45,587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54,355</w:t>
            </w:r>
          </w:p>
        </w:tc>
        <w:tc>
          <w:tcPr>
            <w:tcW w:w="60" w:type="dxa"/>
            <w:vAlign w:val="bottom"/>
          </w:tcPr>
          <w:p>
            <w:pPr>
              <w:spacing w:after="0"/>
              <w:rPr>
                <w:sz w:val="21"/>
                <w:szCs w:val="21"/>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Stock-based compensation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37,678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35,533</w:t>
            </w:r>
          </w:p>
        </w:tc>
        <w:tc>
          <w:tcPr>
            <w:tcW w:w="60" w:type="dxa"/>
            <w:vAlign w:val="bottom"/>
          </w:tcPr>
          <w:p>
            <w:pPr>
              <w:spacing w:after="0"/>
              <w:rPr>
                <w:sz w:val="21"/>
                <w:szCs w:val="21"/>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Technical operations and manufacturing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39,713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52,359</w:t>
            </w:r>
          </w:p>
        </w:tc>
        <w:tc>
          <w:tcPr>
            <w:tcW w:w="60" w:type="dxa"/>
            <w:vAlign w:val="bottom"/>
          </w:tcPr>
          <w:p>
            <w:pPr>
              <w:spacing w:after="0"/>
              <w:rPr>
                <w:sz w:val="21"/>
                <w:szCs w:val="21"/>
                <w:color w:val="auto"/>
              </w:rPr>
            </w:pPr>
          </w:p>
        </w:tc>
      </w:tr>
      <w:tr>
        <w:trPr>
          <w:trHeight w:val="266"/>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Portfolio prioritization costs ....................................................................................</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5,203</w:t>
            </w:r>
          </w:p>
        </w:tc>
        <w:tc>
          <w:tcPr>
            <w:tcW w:w="60" w:type="dxa"/>
            <w:vAlign w:val="bottom"/>
          </w:tcPr>
          <w:p>
            <w:pPr>
              <w:spacing w:after="0"/>
              <w:rPr>
                <w:sz w:val="23"/>
                <w:szCs w:val="23"/>
                <w:color w:val="auto"/>
              </w:rPr>
            </w:pPr>
          </w:p>
        </w:tc>
      </w:tr>
      <w:tr>
        <w:trPr>
          <w:trHeight w:val="260"/>
        </w:trPr>
        <w:tc>
          <w:tcPr>
            <w:tcW w:w="6860" w:type="dxa"/>
            <w:vAlign w:val="bottom"/>
          </w:tcPr>
          <w:p>
            <w:pPr>
              <w:jc w:val="right"/>
              <w:ind w:right="60"/>
              <w:spacing w:after="0" w:line="261" w:lineRule="exact"/>
              <w:rPr>
                <w:sz w:val="20"/>
                <w:szCs w:val="20"/>
                <w:color w:val="auto"/>
              </w:rPr>
            </w:pPr>
            <w:r>
              <w:rPr>
                <w:rFonts w:ascii="Times New Roman" w:cs="Times New Roman" w:eastAsia="Times New Roman" w:hAnsi="Times New Roman"/>
                <w:sz w:val="20"/>
                <w:szCs w:val="20"/>
                <w:color w:val="231F20"/>
              </w:rPr>
              <w:t>Other</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9,307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14,944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20,313</w:t>
            </w:r>
          </w:p>
        </w:tc>
        <w:tc>
          <w:tcPr>
            <w:tcW w:w="60" w:type="dxa"/>
            <w:vAlign w:val="bottom"/>
          </w:tcPr>
          <w:p>
            <w:pPr>
              <w:spacing w:after="0"/>
              <w:rPr>
                <w:sz w:val="22"/>
                <w:szCs w:val="22"/>
                <w:color w:val="auto"/>
              </w:rPr>
            </w:pPr>
          </w:p>
        </w:tc>
      </w:tr>
      <w:tr>
        <w:trPr>
          <w:trHeight w:val="230"/>
        </w:trPr>
        <w:tc>
          <w:tcPr>
            <w:tcW w:w="6860" w:type="dxa"/>
            <w:vAlign w:val="bottom"/>
          </w:tcPr>
          <w:p>
            <w:pPr>
              <w:jc w:val="right"/>
              <w:ind w:right="1100"/>
              <w:spacing w:after="0"/>
              <w:rPr>
                <w:sz w:val="20"/>
                <w:szCs w:val="20"/>
                <w:color w:val="auto"/>
              </w:rPr>
            </w:pPr>
            <w:r>
              <w:rPr>
                <w:rFonts w:ascii="Times New Roman" w:cs="Times New Roman" w:eastAsia="Times New Roman" w:hAnsi="Times New Roman"/>
                <w:sz w:val="20"/>
                <w:szCs w:val="20"/>
                <w:color w:val="231F20"/>
              </w:rPr>
              <w:t>Research and development related success payments and contingent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consideration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(8,881)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(48,981)</w:t>
            </w:r>
          </w:p>
        </w:tc>
      </w:tr>
      <w:tr>
        <w:trPr>
          <w:trHeight w:val="249"/>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Impairment of long-lived assets ...............................................................................</w:t>
            </w: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44,611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7,014</w:t>
            </w:r>
          </w:p>
        </w:tc>
        <w:tc>
          <w:tcPr>
            <w:tcW w:w="60" w:type="dxa"/>
            <w:vAlign w:val="bottom"/>
          </w:tcPr>
          <w:p>
            <w:pPr>
              <w:spacing w:after="0"/>
              <w:rPr>
                <w:sz w:val="21"/>
                <w:szCs w:val="21"/>
                <w:color w:val="auto"/>
              </w:rPr>
            </w:pPr>
          </w:p>
        </w:tc>
      </w:tr>
      <w:tr>
        <w:trPr>
          <w:trHeight w:val="239"/>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......................................................................................Totaloperatingexpenses</w:t>
            </w:r>
          </w:p>
        </w:tc>
        <w:tc>
          <w:tcPr>
            <w:tcW w:w="2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250,319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272,723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293,141</w:t>
            </w:r>
          </w:p>
        </w:tc>
        <w:tc>
          <w:tcPr>
            <w:tcW w:w="60" w:type="dxa"/>
            <w:vAlign w:val="bottom"/>
          </w:tcPr>
          <w:p>
            <w:pPr>
              <w:spacing w:after="0"/>
              <w:rPr>
                <w:sz w:val="20"/>
                <w:szCs w:val="20"/>
                <w:color w:val="auto"/>
              </w:rPr>
            </w:pPr>
          </w:p>
        </w:tc>
      </w:tr>
      <w:tr>
        <w:trPr>
          <w:trHeight w:val="23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....................................................................................................Lossfromoperations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(250,319)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(272,723)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(293,141)</w:t>
            </w:r>
          </w:p>
        </w:tc>
        <w:tc>
          <w:tcPr>
            <w:tcW w:w="60" w:type="dxa"/>
            <w:vAlign w:val="bottom"/>
          </w:tcPr>
          <w:p>
            <w:pPr>
              <w:spacing w:after="0"/>
              <w:rPr>
                <w:sz w:val="20"/>
                <w:szCs w:val="20"/>
                <w:color w:val="auto"/>
              </w:rPr>
            </w:pPr>
          </w:p>
        </w:tc>
      </w:tr>
      <w:tr>
        <w:trPr>
          <w:trHeight w:val="244"/>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Interest income, net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10,471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9,938</w:t>
            </w:r>
          </w:p>
        </w:tc>
        <w:tc>
          <w:tcPr>
            <w:tcW w:w="60" w:type="dxa"/>
            <w:vAlign w:val="bottom"/>
          </w:tcPr>
          <w:p>
            <w:pPr>
              <w:spacing w:after="0"/>
              <w:rPr>
                <w:sz w:val="21"/>
                <w:szCs w:val="21"/>
                <w:color w:val="auto"/>
              </w:rPr>
            </w:pPr>
          </w:p>
        </w:tc>
      </w:tr>
      <w:tr>
        <w:trPr>
          <w:trHeight w:val="249"/>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Other income (expense), net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(4,507)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239"/>
        </w:trPr>
        <w:tc>
          <w:tcPr>
            <w:tcW w:w="6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.........................................................................................................................Netloss</w:t>
            </w: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(244,166</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10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(266,759</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8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(283,255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-2889885</wp:posOffset>
            </wp:positionV>
            <wp:extent cx="248031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2480310" cy="38100"/>
                    </a:xfrm>
                    <a:prstGeom prst="rect">
                      <a:avLst/>
                    </a:prstGeom>
                    <a:noFill/>
                  </pic:spPr>
                </pic:pic>
              </a:graphicData>
            </a:graphic>
          </wp:anchor>
        </w:drawing>
      </w:r>
    </w:p>
    <w:p>
      <w:pPr>
        <w:spacing w:after="0" w:line="125" w:lineRule="exact"/>
        <w:rPr>
          <w:sz w:val="20"/>
          <w:szCs w:val="20"/>
          <w:color w:val="auto"/>
        </w:rPr>
      </w:pPr>
    </w:p>
    <w:p>
      <w:pPr>
        <w:ind w:right="300"/>
        <w:spacing w:after="0" w:line="229" w:lineRule="auto"/>
        <w:tabs>
          <w:tab w:leader="none" w:pos="157" w:val="left"/>
        </w:tabs>
        <w:numPr>
          <w:ilvl w:val="0"/>
          <w:numId w:val="82"/>
        </w:numPr>
        <w:rPr>
          <w:rFonts w:ascii="Times New Roman" w:cs="Times New Roman" w:eastAsia="Times New Roman" w:hAnsi="Times New Roman"/>
          <w:sz w:val="20"/>
          <w:szCs w:val="20"/>
          <w:color w:val="231F20"/>
          <w:vertAlign w:val="superscript"/>
        </w:rPr>
      </w:pPr>
      <w:r>
        <w:rPr>
          <w:rFonts w:ascii="Times New Roman" w:cs="Times New Roman" w:eastAsia="Times New Roman" w:hAnsi="Times New Roman"/>
          <w:sz w:val="16"/>
          <w:szCs w:val="16"/>
          <w:color w:val="231F20"/>
        </w:rPr>
        <w:t>Other segment expenses include licensing costs, consulting fees, business taxes, and insurance costs for the years ended December 31, 2025, 2024, and 2023, and costs incurred for the early termination of the Fremont lease for the year ended December 31, 2023.</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Acquisitions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Cobalt Biomedicine, Inc.</w:t>
      </w:r>
    </w:p>
    <w:p>
      <w:pPr>
        <w:spacing w:after="0" w:line="12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In February 2019, the Company acquired 100% of the outstanding equity of Cobalt, a privately-held early -stage biotechnology company developing a platform technology using its fusogen technology to specifically and consistently deliver various biological payloads to cells (the Cobalt acquisition).</w:t>
      </w:r>
    </w:p>
    <w:p>
      <w:pPr>
        <w:spacing w:after="0" w:line="188"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As part of the Cobalt acquisition, the Company recorded an intangible asset of $59.2 million, which consists of in -process research and development that is classified as indefinite-lived until the successful completion of the associated research and development technology, at which point it becomes a finite-lived asset and will be amortized over its estimated useful life. If the research and development technology is abandoned, an impairment charge will be recorded. The Company is actively developing the fusogen technology and, accordingly, the intangible asset is not complete. Amortization will begin when regulatory approval of a product candidate developed using the fusogen technology is obtained in a major market, typically either the United States or the European Union.</w:t>
      </w:r>
    </w:p>
    <w:p>
      <w:pPr>
        <w:spacing w:after="0" w:line="200" w:lineRule="exact"/>
        <w:rPr>
          <w:sz w:val="20"/>
          <w:szCs w:val="20"/>
          <w:color w:val="auto"/>
        </w:rPr>
      </w:pPr>
    </w:p>
    <w:p>
      <w:pPr>
        <w:ind w:right="140" w:firstLine="490"/>
        <w:spacing w:after="0" w:line="305" w:lineRule="auto"/>
        <w:rPr>
          <w:sz w:val="20"/>
          <w:szCs w:val="20"/>
          <w:color w:val="auto"/>
        </w:rPr>
      </w:pPr>
      <w:r>
        <w:rPr>
          <w:rFonts w:ascii="Times New Roman" w:cs="Times New Roman" w:eastAsia="Times New Roman" w:hAnsi="Times New Roman"/>
          <w:sz w:val="19"/>
          <w:szCs w:val="19"/>
          <w:color w:val="231F20"/>
        </w:rPr>
        <w:t xml:space="preserve">The Company recognized $ 140.6 million of goodwill as a result of the Cobalt acquisition, which is primarily attributable to the value the acquisition provides the Company by complementing the Company’s </w:t>
      </w:r>
      <w:r>
        <w:rPr>
          <w:rFonts w:ascii="Times New Roman" w:cs="Times New Roman" w:eastAsia="Times New Roman" w:hAnsi="Times New Roman"/>
          <w:sz w:val="19"/>
          <w:szCs w:val="19"/>
          <w:i w:val="1"/>
          <w:iCs w:val="1"/>
          <w:color w:val="231F20"/>
        </w:rPr>
        <w:t>ex vivo</w:t>
      </w:r>
      <w:r>
        <w:rPr>
          <w:rFonts w:ascii="Times New Roman" w:cs="Times New Roman" w:eastAsia="Times New Roman" w:hAnsi="Times New Roman"/>
          <w:sz w:val="19"/>
          <w:szCs w:val="19"/>
          <w:color w:val="231F20"/>
        </w:rPr>
        <w:t xml:space="preserve"> cell therapy technology with </w:t>
      </w:r>
      <w:r>
        <w:rPr>
          <w:rFonts w:ascii="Times New Roman" w:cs="Times New Roman" w:eastAsia="Times New Roman" w:hAnsi="Times New Roman"/>
          <w:sz w:val="19"/>
          <w:szCs w:val="19"/>
          <w:i w:val="1"/>
          <w:iCs w:val="1"/>
          <w:color w:val="231F20"/>
        </w:rPr>
        <w:t>in vivo</w:t>
      </w:r>
      <w:r>
        <w:rPr>
          <w:rFonts w:ascii="Times New Roman" w:cs="Times New Roman" w:eastAsia="Times New Roman" w:hAnsi="Times New Roman"/>
          <w:sz w:val="19"/>
          <w:szCs w:val="19"/>
          <w:color w:val="231F20"/>
        </w:rPr>
        <w:t xml:space="preserve"> fusogen</w:t>
      </w:r>
    </w:p>
    <w:p>
      <w:pPr>
        <w:sectPr>
          <w:pgSz w:w="11880" w:h="15480" w:orient="portrait"/>
          <w:cols w:equalWidth="0" w:num="1">
            <w:col w:w="10800"/>
          </w:cols>
          <w:pgMar w:left="540" w:top="750" w:right="540" w:bottom="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164</w:t>
      </w:r>
    </w:p>
    <w:p>
      <w:pPr>
        <w:sectPr>
          <w:pgSz w:w="11880" w:h="15480" w:orient="portrait"/>
          <w:cols w:equalWidth="0" w:num="1">
            <w:col w:w="10800"/>
          </w:cols>
          <w:pgMar w:left="540" w:top="750" w:right="540" w:bottom="0" w:gutter="0" w:footer="0" w:header="0"/>
          <w:type w:val="continuous"/>
        </w:sectPr>
      </w:pPr>
    </w:p>
    <w:bookmarkStart w:id="170" w:name="page171"/>
    <w:bookmarkEnd w:id="170"/>
    <w:p>
      <w:pPr>
        <w:ind w:right="640"/>
        <w:spacing w:after="0" w:line="277" w:lineRule="auto"/>
        <w:rPr>
          <w:sz w:val="20"/>
          <w:szCs w:val="20"/>
          <w:color w:val="auto"/>
        </w:rPr>
      </w:pPr>
      <w:r>
        <w:rPr>
          <w:rFonts w:ascii="Times New Roman" w:cs="Times New Roman" w:eastAsia="Times New Roman" w:hAnsi="Times New Roman"/>
          <w:sz w:val="20"/>
          <w:szCs w:val="20"/>
          <w:color w:val="231F20"/>
        </w:rPr>
        <w:t>cell engineering technology and furthering the Company’s research in using engineered cells as medicines. The goodwill is not deductible for income tax purposes. There were no impairments of the intangible asset or goodwill since the acquisition.</w:t>
      </w:r>
    </w:p>
    <w:p>
      <w:pPr>
        <w:spacing w:after="0" w:line="162"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Pursuant to the terms and conditions in the Cobalt acquisition agreement, the Company has an obligation to pay to certain former Cobalt stockholders contingent consideration (Cobalt Contingent Consideration) of up to an aggregate of $ 500.0 million upon the achievement of certain specified development milestones and a success payment (Cobalt Success Payment) of up to $500.0 million, each of which is payable in cash or stock. The Cobalt Success Payment is payable if, at pre-determined valuation measurement dates, the Company’s market capitalization equals or exceeds $8.1 billion, and the Company is advancing a program based on the fusogen technology in a clinical trial pursuant to an investigational new drug application, or has filed, or received approval for, a biologics license application or new drug application for a product developed using the fusogen technology. The Cobalt Success Payment can be achieved over a maximum of 20 years from the date of the acquisition, but this period could be shorter upon the occurrence of certain events. A valuation measurement date would also be triggered upon a change of control of the Company if at least one of the Company’s programs based on the fusogen technology is an active research program at the time of such change of control. If the Company’s market capitalization is below $8.1 billion as of the date of a change of control, the amount of the potential Cobalt Success Payment will decrease, and the amount of potential Cobalt Contingent Consideration will increase. As of December 31, 2025, a Cobalt Success Payment had not been triggered.</w:t>
      </w:r>
    </w:p>
    <w:p>
      <w:pPr>
        <w:spacing w:after="0" w:line="195" w:lineRule="exact"/>
        <w:rPr>
          <w:sz w:val="20"/>
          <w:szCs w:val="20"/>
          <w:color w:val="auto"/>
        </w:rPr>
      </w:pPr>
    </w:p>
    <w:p>
      <w:pPr>
        <w:ind w:right="160" w:firstLine="490"/>
        <w:spacing w:after="0" w:line="267" w:lineRule="auto"/>
        <w:rPr>
          <w:sz w:val="20"/>
          <w:szCs w:val="20"/>
          <w:color w:val="auto"/>
        </w:rPr>
      </w:pPr>
      <w:r>
        <w:rPr>
          <w:rFonts w:ascii="Times New Roman" w:cs="Times New Roman" w:eastAsia="Times New Roman" w:hAnsi="Times New Roman"/>
          <w:sz w:val="20"/>
          <w:szCs w:val="20"/>
          <w:color w:val="231F20"/>
        </w:rPr>
        <w:t>The following table sets forth various thresholds for the Company’s market capitalizations as of the date of a change of control and the resulting potential Cobalt Success Payment and additional potential Cobalt Contingent Consideration: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6"/>
                <w:szCs w:val="16"/>
                <w:b w:val="1"/>
                <w:bCs w:val="1"/>
                <w:color w:val="231F20"/>
                <w:w w:val="98"/>
              </w:rPr>
              <w:t>Additional</w:t>
            </w:r>
          </w:p>
        </w:tc>
      </w:tr>
      <w:tr>
        <w:trPr>
          <w:trHeight w:val="184"/>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6"/>
                <w:szCs w:val="16"/>
                <w:b w:val="1"/>
                <w:bCs w:val="1"/>
                <w:color w:val="231F20"/>
                <w:w w:val="99"/>
              </w:rPr>
              <w:t>potential Cobalt</w:t>
            </w:r>
          </w:p>
        </w:tc>
      </w:tr>
      <w:tr>
        <w:trPr>
          <w:trHeight w:val="184"/>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Sana market capitalization upon a change of control and resulting impact to Cobalt Success Payment and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69"/>
              <w:spacing w:after="0"/>
              <w:rPr>
                <w:sz w:val="20"/>
                <w:szCs w:val="20"/>
                <w:color w:val="auto"/>
              </w:rPr>
            </w:pPr>
            <w:r>
              <w:rPr>
                <w:rFonts w:ascii="Times New Roman" w:cs="Times New Roman" w:eastAsia="Times New Roman" w:hAnsi="Times New Roman"/>
                <w:sz w:val="16"/>
                <w:szCs w:val="16"/>
                <w:b w:val="1"/>
                <w:bCs w:val="1"/>
                <w:color w:val="231F20"/>
              </w:rPr>
              <w:t>Cobalt Success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6"/>
                <w:szCs w:val="16"/>
                <w:b w:val="1"/>
                <w:bCs w:val="1"/>
                <w:color w:val="231F20"/>
                <w:w w:val="99"/>
              </w:rPr>
              <w:t>Contingent</w:t>
            </w:r>
          </w:p>
        </w:tc>
      </w:tr>
      <w:tr>
        <w:trPr>
          <w:trHeight w:val="203"/>
        </w:trPr>
        <w:tc>
          <w:tcPr>
            <w:tcW w:w="72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additional potential Cobalt Contingent Consideration</w:t>
            </w:r>
          </w:p>
        </w:tc>
        <w:tc>
          <w:tcPr>
            <w:tcW w:w="1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469"/>
              <w:spacing w:after="0"/>
              <w:rPr>
                <w:sz w:val="20"/>
                <w:szCs w:val="20"/>
                <w:color w:val="auto"/>
              </w:rPr>
            </w:pPr>
            <w:r>
              <w:rPr>
                <w:rFonts w:ascii="Times New Roman" w:cs="Times New Roman" w:eastAsia="Times New Roman" w:hAnsi="Times New Roman"/>
                <w:sz w:val="16"/>
                <w:szCs w:val="16"/>
                <w:b w:val="1"/>
                <w:bCs w:val="1"/>
                <w:color w:val="231F20"/>
              </w:rPr>
              <w:t>Payment</w:t>
            </w:r>
          </w:p>
        </w:tc>
        <w:tc>
          <w:tcPr>
            <w:tcW w:w="1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center"/>
              <w:ind w:right="170"/>
              <w:spacing w:after="0"/>
              <w:rPr>
                <w:sz w:val="20"/>
                <w:szCs w:val="20"/>
                <w:color w:val="auto"/>
              </w:rPr>
            </w:pPr>
            <w:r>
              <w:rPr>
                <w:rFonts w:ascii="Times New Roman" w:cs="Times New Roman" w:eastAsia="Times New Roman" w:hAnsi="Times New Roman"/>
                <w:sz w:val="16"/>
                <w:szCs w:val="16"/>
                <w:b w:val="1"/>
                <w:bCs w:val="1"/>
                <w:color w:val="231F20"/>
                <w:w w:val="99"/>
              </w:rPr>
              <w:t>Consideration</w:t>
            </w:r>
          </w:p>
        </w:tc>
      </w:tr>
      <w:tr>
        <w:trPr>
          <w:trHeight w:val="159"/>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20" w:type="dxa"/>
            <w:vAlign w:val="bottom"/>
            <w:gridSpan w:val="4"/>
          </w:tcPr>
          <w:p>
            <w:pPr>
              <w:jc w:val="right"/>
              <w:ind w:right="1250"/>
              <w:spacing w:after="0" w:line="160" w:lineRule="exact"/>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Equal to or exceeds $8.1 billion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500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Equal to or exceeds $7.4 billion, but less than $8.1 billion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150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350</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Equal to or exceeds $6.8 billion, but less than $7.4 billion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100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400</w:t>
            </w:r>
          </w:p>
        </w:tc>
      </w:tr>
      <w:tr>
        <w:trPr>
          <w:trHeight w:val="266"/>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Less than $6.8 billion .............................................................................................................</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500</w:t>
            </w:r>
          </w:p>
        </w:tc>
      </w:tr>
    </w:tbl>
    <w:p>
      <w:pPr>
        <w:spacing w:after="0" w:line="220"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231F20"/>
        </w:rPr>
        <w:t>The Cobalt Success Payment and Cobalt Contingent Consideration liabilities are carried at fair value with changes in fair value recognized in research and development related success payments and contingent consideration. As of December 31, 2025 and 2024, the estimated fair value of the Cobalt Success Payment liability was $17.9 million and $ 4.2 million, respectively, and was recorded in long-term liabilities. In connection with the change in estimated fair value of the Cobalt Success Payment, the Company recognized an expense of $13.6 million compared to gains of $6.9 million and $7.9 million for the years ended December 31, 2025, 2024, and 2023, respectively.</w:t>
      </w:r>
    </w:p>
    <w:p>
      <w:pPr>
        <w:spacing w:after="0" w:line="225" w:lineRule="exact"/>
        <w:rPr>
          <w:sz w:val="20"/>
          <w:szCs w:val="20"/>
          <w:color w:val="auto"/>
        </w:rPr>
      </w:pPr>
    </w:p>
    <w:p>
      <w:pPr>
        <w:ind w:right="180" w:firstLine="490"/>
        <w:spacing w:after="0" w:line="238" w:lineRule="auto"/>
        <w:rPr>
          <w:sz w:val="20"/>
          <w:szCs w:val="20"/>
          <w:color w:val="auto"/>
        </w:rPr>
      </w:pPr>
      <w:r>
        <w:rPr>
          <w:rFonts w:ascii="Times New Roman" w:cs="Times New Roman" w:eastAsia="Times New Roman" w:hAnsi="Times New Roman"/>
          <w:sz w:val="20"/>
          <w:szCs w:val="20"/>
          <w:color w:val="231F20"/>
        </w:rPr>
        <w:t>As of December 31, 2025, the estimated fair value of the Cobalt Contingent Consideration was $123.7 million, of which $40.2 million was recorded in short-term liabilities and $83.5 million was recorded in long-term liabilities. As of December 31, 2024, the estimated fair value of the Cobalt Contingent Consideration was $109.0 million, and was recorded in long-term liabilities. In connection with the change in estimated fair value of the Cobalt Contingent Consideration, the Company recognized an expense of $14.7 million compared to gains of $0.6 million and $40.8 million for the years ended December 31, 2025, 2024, and 2023,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License and collaboration agreements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Beam Therapeutics Inc.</w:t>
      </w:r>
    </w:p>
    <w:p>
      <w:pPr>
        <w:spacing w:after="0" w:line="111"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19"/>
          <w:szCs w:val="19"/>
          <w:color w:val="231F20"/>
        </w:rPr>
        <w:t>In October 2021, the Company entered into an option and license agreement with Beam Therapeutics Inc. (Beam), pursuant to which the Company was granted a non-exclusive license to use Beam’s proprietary CRISPR Cas12b nuclease editing technology to research, develop, and commercialize engineered cell therapy products that (i) are directed to certain antigen targets, with respect to allogeneic T cell products, or (ii) comprise certain human cell types, with respect to stem cell-derived products. The Company made an upfront payment of $50.0 million to Beam, which was recorded in research and development expense for the year ended December 31, 2021. Additionally, under the terms of the agreement, the Company may be obligated to pay, with respect to each licensed product, up to $65.0 million in specified developmental and commercial milestone payments as well as royalties. At the time of the entry into the option and license agreement, a member of the Company’s board of directors was a beneficial owner of greater than 10% of the outstanding shares of Beam. In 2024, this director was also affiliated with a member of the board of directors of Beam.</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165</w:t>
      </w:r>
    </w:p>
    <w:p>
      <w:pPr>
        <w:sectPr>
          <w:pgSz w:w="11880" w:h="15480" w:orient="portrait"/>
          <w:cols w:equalWidth="0" w:num="1">
            <w:col w:w="10800"/>
          </w:cols>
          <w:pgMar w:left="540" w:top="750" w:right="540" w:bottom="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i w:val="1"/>
          <w:iCs w:val="1"/>
          <w:color w:val="231F20"/>
        </w:rPr>
        <w:t>President and Fellows of Harvard College</w:t>
      </w:r>
    </w:p>
    <w:p>
      <w:pPr>
        <w:spacing w:after="0" w:line="111" w:lineRule="exact"/>
        <w:rPr>
          <w:sz w:val="20"/>
          <w:szCs w:val="20"/>
          <w:color w:val="auto"/>
        </w:rPr>
      </w:pPr>
    </w:p>
    <w:p>
      <w:pPr>
        <w:ind w:right="220" w:firstLine="490"/>
        <w:spacing w:after="0" w:line="268" w:lineRule="auto"/>
        <w:rPr>
          <w:sz w:val="20"/>
          <w:szCs w:val="20"/>
          <w:color w:val="auto"/>
        </w:rPr>
      </w:pPr>
      <w:r>
        <w:rPr>
          <w:rFonts w:ascii="Times New Roman" w:cs="Times New Roman" w:eastAsia="Times New Roman" w:hAnsi="Times New Roman"/>
          <w:sz w:val="20"/>
          <w:szCs w:val="20"/>
          <w:color w:val="231F20"/>
        </w:rPr>
        <w:t>In March 2019, the Company entered into an exclusive license agreement with Harvard to access certain intellectual property for the development of hypoimmune-modified cells.</w:t>
      </w:r>
    </w:p>
    <w:p>
      <w:pPr>
        <w:spacing w:after="0" w:line="5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Under the terms of the agreement, the Company paid to Harvard aggregate consideration of $12.0 million, comprising $9.0 million in common stock and $3.0 million in cash. Additionally, the Company may be required to pay to Harvard up to an aggregate of $175.0 million in success payments, payable in cash, based on increases in the fair value of the Company’s common stock. The potential Harvard Success Payments are based on multiples of increased value ranging from 5x to 40x, based on a comparison of the fair market value of the Company’s common stock relative to the original issuance price of $4.00 per share at ongoing pre-determined valuation measurement dates. The Harvard Success Payments can be achieved over a maximum of 12 years from the effective date of the agreement. If a higher success payment tier is first met at the same time a lower tier is first met, both tiers will be owed. Any previous success payments made to Harvard would be credited against the success payment owed as of any valuation measurement date so that Harvard does not receive multiple success payments in connection with the same threshold. As of December 31, 2025, a Harvard Success Payment had not been triggered.</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231F20"/>
        </w:rPr>
        <w:t>The following table summarizes the potential success payments and common stock price required for payment: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Multiple of Equity Value at Issuance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5x</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10x</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20x</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30x</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40x</w:t>
            </w:r>
          </w:p>
        </w:tc>
      </w:tr>
      <w:tr>
        <w:trPr>
          <w:trHeight w:val="206"/>
        </w:trPr>
        <w:tc>
          <w:tcPr>
            <w:tcW w:w="4940" w:type="dxa"/>
            <w:vAlign w:val="bottom"/>
            <w:tcBorders>
              <w:top w:val="single" w:sz="8" w:color="231F20"/>
            </w:tcBorders>
          </w:tcPr>
          <w:p>
            <w:pPr>
              <w:spacing w:after="0" w:line="206" w:lineRule="exact"/>
              <w:rPr>
                <w:sz w:val="20"/>
                <w:szCs w:val="20"/>
                <w:color w:val="auto"/>
              </w:rPr>
            </w:pPr>
            <w:r>
              <w:rPr>
                <w:rFonts w:ascii="Times New Roman" w:cs="Times New Roman" w:eastAsia="Times New Roman" w:hAnsi="Times New Roman"/>
                <w:sz w:val="20"/>
                <w:szCs w:val="20"/>
                <w:color w:val="231F20"/>
                <w:w w:val="99"/>
              </w:rPr>
              <w:t>Per share common stock price required for payment ...............</w:t>
            </w:r>
          </w:p>
        </w:tc>
        <w:tc>
          <w:tcPr>
            <w:tcW w:w="120" w:type="dxa"/>
            <w:vAlign w:val="bottom"/>
          </w:tcPr>
          <w:p>
            <w:pPr>
              <w:spacing w:after="0"/>
              <w:rPr>
                <w:sz w:val="17"/>
                <w:szCs w:val="17"/>
                <w:color w:val="auto"/>
              </w:rPr>
            </w:pPr>
          </w:p>
        </w:tc>
        <w:tc>
          <w:tcPr>
            <w:tcW w:w="240" w:type="dxa"/>
            <w:vAlign w:val="bottom"/>
            <w:tcBorders>
              <w:top w:val="single" w:sz="8" w:color="231F20"/>
            </w:tcBorders>
          </w:tcPr>
          <w:p>
            <w:pPr>
              <w:jc w:val="right"/>
              <w:ind w:right="4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rPr>
              <w:t>20.00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231F20"/>
            </w:tcBorders>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rPr>
              <w:t>40.00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231F20"/>
            </w:tcBorders>
          </w:tcPr>
          <w:p>
            <w:pPr>
              <w:jc w:val="right"/>
              <w:ind w:right="4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rPr>
              <w:t>80.00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231F20"/>
            </w:tcBorders>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rPr>
              <w:t>120.00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231F20"/>
            </w:tcBorders>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rPr>
              <w:t>160.00</w:t>
            </w:r>
          </w:p>
        </w:tc>
        <w:tc>
          <w:tcPr>
            <w:tcW w:w="20" w:type="dxa"/>
            <w:vAlign w:val="bottom"/>
          </w:tcPr>
          <w:p>
            <w:pPr>
              <w:spacing w:after="0"/>
              <w:rPr>
                <w:sz w:val="17"/>
                <w:szCs w:val="17"/>
                <w:color w:val="auto"/>
              </w:rPr>
            </w:pPr>
          </w:p>
        </w:tc>
      </w:tr>
      <w:tr>
        <w:trPr>
          <w:trHeight w:val="26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Success payment(s) (in millions) .............................................</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12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w:t>
            </w:r>
          </w:p>
        </w:tc>
        <w:tc>
          <w:tcPr>
            <w:tcW w:w="20" w:type="dxa"/>
            <w:vAlign w:val="bottom"/>
          </w:tcPr>
          <w:p>
            <w:pPr>
              <w:spacing w:after="0"/>
              <w:rPr>
                <w:sz w:val="23"/>
                <w:szCs w:val="23"/>
                <w:color w:val="auto"/>
              </w:rPr>
            </w:pPr>
          </w:p>
        </w:tc>
      </w:tr>
    </w:tbl>
    <w:p>
      <w:pPr>
        <w:spacing w:after="0" w:line="24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Harvard Success Payment liabilities are carried at fair value, with the initial value and changes in fair value recognized in research and development related success payments and contingent consideration. As of December 31, 2025 and December 31, 2024, the estimated fair value of the Harvard Success Payment liability was $1.4 million and $0.3 million, respectively, and was recorded in long-term liabilities. In connection with the change in the estimated fair value of the Harvard Success Payment liability, the Company recognized an expense of $1.1 million compared to gains of $1.3 million and $0.3 million for the years ended December 31, 2025, 2024, and 2023,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6. Restricted cash</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 maintains standby letters of credit that are collateralized with a bank account at a financial institution in accordance with certain lease agreements. The aggregate amount of such standby letters of credit was $4.2 million and $3.8 million as of December 31, 2025 and 2024, respectively.</w:t>
      </w:r>
    </w:p>
    <w:p>
      <w:pPr>
        <w:sectPr>
          <w:pgSz w:w="11880" w:h="15480" w:orient="portrait"/>
          <w:cols w:equalWidth="0" w:num="1">
            <w:col w:w="10740"/>
          </w:cols>
          <w:pgMar w:left="540" w:top="74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166</w:t>
      </w:r>
    </w:p>
    <w:p>
      <w:pPr>
        <w:sectPr>
          <w:pgSz w:w="11880" w:h="15480" w:orient="portrait"/>
          <w:cols w:equalWidth="0" w:num="1">
            <w:col w:w="10740"/>
          </w:cols>
          <w:pgMar w:left="540" w:top="742" w:right="600" w:bottom="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231F20"/>
        </w:rPr>
        <w:t>7. Fair value measurements</w:t>
      </w:r>
    </w:p>
    <w:p>
      <w:pPr>
        <w:spacing w:after="0" w:line="12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tables summarize the Company’s financial assets and liabilities measured at fair value on a recurring basis based on the three-tier fair value hierarchy: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0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left="79"/>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Valuation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231F20"/>
              </w:rPr>
              <w:t>Unrealized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Estimated</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Hierarchy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w w:val="98"/>
              </w:rPr>
              <w:t>Amortized Cost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231F20"/>
            </w:tcBorders>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8"/>
              </w:rPr>
              <w:t>Holding Gains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231F20"/>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Holding Losses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1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Financial assets: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Cash equivalents: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Money market funds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1</w:t>
            </w:r>
          </w:p>
        </w:tc>
        <w:tc>
          <w:tcPr>
            <w:tcW w:w="4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63,000</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ind w:right="759"/>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6"/>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U.S. government and agency securities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6,528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6,528</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................................Totalcashequivalents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69,528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69,528</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Short-term marketable securities: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U.S. government and agency securities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65,082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Corporate debt securities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1,402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1,401</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.......Totalshort-termmarketablesecurities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66,484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29</w:t>
            </w: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66,512</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................................Totalfinancialassets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136,012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29</w:t>
            </w:r>
          </w:p>
        </w:tc>
        <w:tc>
          <w:tcPr>
            <w:tcW w:w="20" w:type="dxa"/>
            <w:vAlign w:val="bottom"/>
            <w:tcBorders>
              <w:bottom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759"/>
              <w:spacing w:after="0"/>
              <w:rPr>
                <w:sz w:val="20"/>
                <w:szCs w:val="20"/>
                <w:color w:val="auto"/>
              </w:rPr>
            </w:pPr>
            <w:r>
              <w:rPr>
                <w:rFonts w:ascii="Times New Roman" w:cs="Times New Roman" w:eastAsia="Times New Roman" w:hAnsi="Times New Roman"/>
                <w:sz w:val="17"/>
                <w:szCs w:val="17"/>
                <w:color w:val="231F20"/>
                <w:w w:val="70"/>
              </w:rPr>
              <w:t>$</w:t>
            </w: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gridSpan w:val="2"/>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136,040</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Financial liabilities:</w:t>
            </w: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Short-term financial liabilities: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Contingent consideration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3</w:t>
            </w:r>
          </w:p>
        </w:tc>
        <w:tc>
          <w:tcPr>
            <w:tcW w:w="4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40,200</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ind w:right="759"/>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6"/>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...........Totalshort-termfinancialliabilities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96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40,200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1100" w:type="dxa"/>
            <w:vAlign w:val="bottom"/>
            <w:tcBorders>
              <w:top w:val="single" w:sz="8" w:color="231F20"/>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top w:val="single" w:sz="8" w:color="231F20"/>
              <w:bottom w:val="single" w:sz="8" w:color="231F20"/>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231F20"/>
              <w:bottom w:val="single" w:sz="8" w:color="231F20"/>
            </w:tcBorders>
          </w:tcPr>
          <w:p>
            <w:pPr>
              <w:spacing w:after="0"/>
              <w:rPr>
                <w:sz w:val="20"/>
                <w:szCs w:val="20"/>
                <w:color w:val="auto"/>
              </w:rPr>
            </w:pPr>
          </w:p>
        </w:tc>
        <w:tc>
          <w:tcPr>
            <w:tcW w:w="30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100" w:type="dxa"/>
            <w:vAlign w:val="bottom"/>
            <w:tcBorders>
              <w:top w:val="single" w:sz="8" w:color="231F20"/>
              <w:bottom w:val="single" w:sz="8" w:color="231F20"/>
            </w:tcBorders>
          </w:tcPr>
          <w:p>
            <w:pPr>
              <w:spacing w:after="0"/>
              <w:rPr>
                <w:sz w:val="20"/>
                <w:szCs w:val="20"/>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40,200</w:t>
            </w:r>
          </w:p>
        </w:tc>
        <w:tc>
          <w:tcPr>
            <w:tcW w:w="60" w:type="dxa"/>
            <w:vAlign w:val="bottom"/>
            <w:tcBorders>
              <w:top w:val="single" w:sz="8" w:color="231F20"/>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Long-term financial 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Contingent consideration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83,518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83,518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Success payment liabilities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19,238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19,238</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............Totallong-termfinancialliabilities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102,756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102,756</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..........................Totalfinancialliabilities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142,956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759"/>
              <w:spacing w:after="0"/>
              <w:rPr>
                <w:sz w:val="20"/>
                <w:szCs w:val="20"/>
                <w:color w:val="auto"/>
              </w:rPr>
            </w:pPr>
            <w:r>
              <w:rPr>
                <w:rFonts w:ascii="Times New Roman" w:cs="Times New Roman" w:eastAsia="Times New Roman" w:hAnsi="Times New Roman"/>
                <w:sz w:val="17"/>
                <w:szCs w:val="17"/>
                <w:color w:val="231F20"/>
                <w:w w:val="70"/>
              </w:rPr>
              <w:t>$</w:t>
            </w:r>
          </w:p>
        </w:tc>
        <w:tc>
          <w:tcPr>
            <w:tcW w:w="3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gridSpan w:val="2"/>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142,956</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0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left="79"/>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Valuation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Estimated</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Hierarchy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w w:val="96"/>
              </w:rPr>
              <w:t>Amortized Cost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gridSpan w:val="2"/>
          </w:tcPr>
          <w:p>
            <w:pPr>
              <w:jc w:val="center"/>
              <w:ind w:right="65"/>
              <w:spacing w:after="0"/>
              <w:rPr>
                <w:sz w:val="20"/>
                <w:szCs w:val="20"/>
                <w:color w:val="auto"/>
              </w:rPr>
            </w:pPr>
            <w:r>
              <w:rPr>
                <w:rFonts w:ascii="Times New Roman" w:cs="Times New Roman" w:eastAsia="Times New Roman" w:hAnsi="Times New Roman"/>
                <w:sz w:val="16"/>
                <w:szCs w:val="16"/>
                <w:b w:val="1"/>
                <w:bCs w:val="1"/>
                <w:color w:val="231F20"/>
                <w:w w:val="98"/>
              </w:rPr>
              <w:t>Holding Gains</w:t>
            </w: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Holding Losses</w:t>
            </w:r>
          </w:p>
        </w:tc>
        <w:tc>
          <w:tcPr>
            <w:tcW w:w="2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1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Financial assets: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Cash equivalents: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Money market funds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1</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66,641</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right"/>
              <w:ind w:right="779"/>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6"/>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66,641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U.S. government and agency securities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25,237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25,242</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................................Totalcashequivalents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91,878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91,883</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Short-term marketable securities: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U.S. government and agency securities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19,137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Corporate debt securities............................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5,785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5,787</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.......Totalshort-termmarketablesecurities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24,922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24,931</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................................Totalfinancialassets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116,800</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gridSpan w:val="2"/>
          </w:tcPr>
          <w:p>
            <w:pPr>
              <w:jc w:val="right"/>
              <w:ind w:right="779"/>
              <w:spacing w:after="0"/>
              <w:rPr>
                <w:sz w:val="20"/>
                <w:szCs w:val="20"/>
                <w:color w:val="auto"/>
              </w:rPr>
            </w:pPr>
            <w:r>
              <w:rPr>
                <w:rFonts w:ascii="Times New Roman" w:cs="Times New Roman" w:eastAsia="Times New Roman" w:hAnsi="Times New Roman"/>
                <w:sz w:val="17"/>
                <w:szCs w:val="17"/>
                <w:color w:val="231F20"/>
                <w:w w:val="70"/>
              </w:rPr>
              <w:t>$</w:t>
            </w: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116,814</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231F20"/>
              </w:rPr>
              <w:t>Long-term financial liabilities:</w:t>
            </w: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Contingent consideration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108,968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108,968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Success payment liabilities ........................</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Level 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4,556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4,556</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............Totallong-termfinancialliabilities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113,524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113,524</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..........................Totalfinancialliabilities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113,524</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gridSpan w:val="2"/>
          </w:tcPr>
          <w:p>
            <w:pPr>
              <w:jc w:val="right"/>
              <w:ind w:right="779"/>
              <w:spacing w:after="0"/>
              <w:rPr>
                <w:sz w:val="20"/>
                <w:szCs w:val="20"/>
                <w:color w:val="auto"/>
              </w:rPr>
            </w:pPr>
            <w:r>
              <w:rPr>
                <w:rFonts w:ascii="Times New Roman" w:cs="Times New Roman" w:eastAsia="Times New Roman" w:hAnsi="Times New Roman"/>
                <w:sz w:val="17"/>
                <w:szCs w:val="17"/>
                <w:color w:val="231F20"/>
                <w:w w:val="70"/>
              </w:rPr>
              <w:t>$</w:t>
            </w: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113,524</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-6838315</wp:posOffset>
            </wp:positionV>
            <wp:extent cx="346329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3463290" cy="3810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-2955925</wp:posOffset>
            </wp:positionV>
            <wp:extent cx="346964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extLst>
                    </a:blip>
                    <a:srcRect/>
                    <a:stretch>
                      <a:fillRect/>
                    </a:stretch>
                  </pic:blipFill>
                  <pic:spPr bwMode="auto">
                    <a:xfrm>
                      <a:off x="0" y="0"/>
                      <a:ext cx="3469640" cy="38100"/>
                    </a:xfrm>
                    <a:prstGeom prst="rect">
                      <a:avLst/>
                    </a:prstGeom>
                    <a:noFill/>
                  </pic:spPr>
                </pic:pic>
              </a:graphicData>
            </a:graphic>
          </wp:anchor>
        </w:drawing>
      </w:r>
    </w:p>
    <w:p>
      <w:pPr>
        <w:spacing w:after="0" w:line="277"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231F20"/>
        </w:rPr>
        <w:t>The Company measures the fair value of money market funds based on quoted prices in active markets for identical assets or liabilities. The Level 2 marketable securities include U.S. government and agency securities and corporate debt securities and are valued based on either recent trades of securities in inactive markets or quoted market prices of similar instruments and other significant inputs derived from or corroborated by observable market data.</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167</w:t>
      </w:r>
    </w:p>
    <w:p>
      <w:pPr>
        <w:sectPr>
          <w:pgSz w:w="11880" w:h="15480" w:orient="portrait"/>
          <w:cols w:equalWidth="0" w:num="1">
            <w:col w:w="10800"/>
          </w:cols>
          <w:pgMar w:left="540" w:top="746" w:right="540" w:bottom="0" w:gutter="0" w:footer="0" w:header="0"/>
          <w:type w:val="continuous"/>
        </w:sectPr>
      </w:pPr>
    </w:p>
    <w:bookmarkStart w:id="173" w:name="page174"/>
    <w:bookmarkEnd w:id="173"/>
    <w:p>
      <w:pPr>
        <w:ind w:right="40" w:firstLine="490"/>
        <w:spacing w:after="0" w:line="239" w:lineRule="auto"/>
        <w:rPr>
          <w:sz w:val="20"/>
          <w:szCs w:val="20"/>
          <w:color w:val="auto"/>
        </w:rPr>
      </w:pPr>
      <w:r>
        <w:rPr>
          <w:rFonts w:ascii="Times New Roman" w:cs="Times New Roman" w:eastAsia="Times New Roman" w:hAnsi="Times New Roman"/>
          <w:sz w:val="20"/>
          <w:szCs w:val="20"/>
          <w:color w:val="231F20"/>
        </w:rPr>
        <w:t>There were no available-for-sale debt securities in a material loss position as of December 31, 2025 and 2024. The Company determined that there was no material change in the credit risk of the investments during the year ended December 31, 2025. As such, an allowance for credit losses has not been recognized. As of December 31, 2025, the Company does not intend to sell such securities, and it is not more-likely-than-not that the Company will be required to sell the securities prior to the recovery of the amortized cost basis.</w:t>
      </w:r>
    </w:p>
    <w:p>
      <w:pPr>
        <w:spacing w:after="0" w:line="205"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2025, all marketable securities had an effective maturity date of two years or less. Investments in securities with maturities of less than one year, or those for which management intends to use to fund current operations, are included in current assets and classified as available-for-sale. As of December 31, 2025 and 2024, the balance in accumulated other comprehensive loss included net unrealized gains (losses) related to the Company’s available-for-sale debt securities.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sets forth a summary of the changes in the fair value of the Company’s Level 3 financial liabilities: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Cobalt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Harvard</w:t>
            </w:r>
          </w:p>
        </w:tc>
      </w:tr>
      <w:tr>
        <w:trPr>
          <w:trHeight w:val="184"/>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Contingent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w w:val="99"/>
              </w:rPr>
              <w:t>Success Payment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Success Payment</w:t>
            </w:r>
          </w:p>
        </w:tc>
      </w:tr>
      <w:tr>
        <w:trPr>
          <w:trHeight w:val="203"/>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Consideration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Liability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0" w:type="dxa"/>
            <w:vAlign w:val="bottom"/>
            <w:tcBorders>
              <w:bottom w:val="single" w:sz="8" w:color="231F20"/>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Liability</w:t>
            </w:r>
          </w:p>
        </w:tc>
      </w:tr>
      <w:tr>
        <w:trPr>
          <w:trHeight w:val="160"/>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126"/>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w w:val="98"/>
              </w:rPr>
              <w:t>Balance as of December 31, 2024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108,968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4,236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320</w:t>
            </w:r>
          </w:p>
        </w:tc>
        <w:tc>
          <w:tcPr>
            <w:tcW w:w="60" w:type="dxa"/>
            <w:vAlign w:val="bottom"/>
          </w:tcPr>
          <w:p>
            <w:pPr>
              <w:spacing w:after="0"/>
              <w:rPr>
                <w:sz w:val="20"/>
                <w:szCs w:val="20"/>
                <w:color w:val="auto"/>
              </w:rPr>
            </w:pPr>
          </w:p>
        </w:tc>
      </w:tr>
      <w:tr>
        <w:trPr>
          <w:trHeight w:val="249"/>
        </w:trPr>
        <w:tc>
          <w:tcPr>
            <w:tcW w:w="5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Changes in fair value – expense (gain) .................................................</w:t>
            </w:r>
          </w:p>
        </w:tc>
        <w:tc>
          <w:tcPr>
            <w:tcW w:w="160" w:type="dxa"/>
            <w:vAlign w:val="bottom"/>
          </w:tcPr>
          <w:p>
            <w:pPr>
              <w:spacing w:after="0"/>
              <w:rPr>
                <w:sz w:val="21"/>
                <w:szCs w:val="21"/>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1,864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105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(12)</w:t>
            </w:r>
          </w:p>
        </w:tc>
      </w:tr>
      <w:tr>
        <w:trPr>
          <w:trHeight w:val="206"/>
        </w:trPr>
        <w:tc>
          <w:tcPr>
            <w:tcW w:w="594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20"/>
                <w:szCs w:val="20"/>
                <w:color w:val="231F20"/>
              </w:rPr>
              <w:t>...................................................................BalanceasofMarch31,2025</w:t>
            </w:r>
          </w:p>
        </w:tc>
        <w:tc>
          <w:tcPr>
            <w:tcW w:w="160" w:type="dxa"/>
            <w:vAlign w:val="bottom"/>
          </w:tcPr>
          <w:p>
            <w:pPr>
              <w:spacing w:after="0"/>
              <w:rPr>
                <w:sz w:val="17"/>
                <w:szCs w:val="17"/>
                <w:color w:val="auto"/>
              </w:rPr>
            </w:pPr>
          </w:p>
        </w:tc>
        <w:tc>
          <w:tcPr>
            <w:tcW w:w="1360" w:type="dxa"/>
            <w:vAlign w:val="bottom"/>
          </w:tcPr>
          <w:p>
            <w:pPr>
              <w:jc w:val="right"/>
              <w:ind w:right="4"/>
              <w:spacing w:after="0" w:line="206" w:lineRule="exact"/>
              <w:rPr>
                <w:sz w:val="20"/>
                <w:szCs w:val="20"/>
                <w:color w:val="auto"/>
              </w:rPr>
            </w:pPr>
            <w:r>
              <w:rPr>
                <w:rFonts w:ascii="Times New Roman" w:cs="Times New Roman" w:eastAsia="Times New Roman" w:hAnsi="Times New Roman"/>
                <w:sz w:val="20"/>
                <w:szCs w:val="20"/>
                <w:color w:val="231F20"/>
              </w:rPr>
              <w:t>110,832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
              <w:spacing w:after="0" w:line="206" w:lineRule="exact"/>
              <w:rPr>
                <w:sz w:val="20"/>
                <w:szCs w:val="20"/>
                <w:color w:val="auto"/>
              </w:rPr>
            </w:pPr>
            <w:r>
              <w:rPr>
                <w:rFonts w:ascii="Times New Roman" w:cs="Times New Roman" w:eastAsia="Times New Roman" w:hAnsi="Times New Roman"/>
                <w:sz w:val="20"/>
                <w:szCs w:val="20"/>
                <w:color w:val="231F20"/>
              </w:rPr>
              <w:t>4,341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308</w:t>
            </w:r>
          </w:p>
        </w:tc>
        <w:tc>
          <w:tcPr>
            <w:tcW w:w="20" w:type="dxa"/>
            <w:vAlign w:val="bottom"/>
            <w:tcBorders>
              <w:top w:val="single" w:sz="8" w:color="231F20"/>
            </w:tcBorders>
          </w:tcPr>
          <w:p>
            <w:pPr>
              <w:spacing w:after="0"/>
              <w:rPr>
                <w:sz w:val="17"/>
                <w:szCs w:val="17"/>
                <w:color w:val="auto"/>
              </w:rPr>
            </w:pPr>
          </w:p>
        </w:tc>
        <w:tc>
          <w:tcPr>
            <w:tcW w:w="60" w:type="dxa"/>
            <w:vAlign w:val="bottom"/>
            <w:tcBorders>
              <w:top w:val="single" w:sz="8" w:color="231F20"/>
            </w:tcBorders>
          </w:tcPr>
          <w:p>
            <w:pPr>
              <w:spacing w:after="0"/>
              <w:rPr>
                <w:sz w:val="17"/>
                <w:szCs w:val="17"/>
                <w:color w:val="auto"/>
              </w:rPr>
            </w:pPr>
          </w:p>
        </w:tc>
      </w:tr>
      <w:tr>
        <w:trPr>
          <w:trHeight w:val="249"/>
        </w:trPr>
        <w:tc>
          <w:tcPr>
            <w:tcW w:w="5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Changes in fair value – expense ............................................................</w:t>
            </w:r>
          </w:p>
        </w:tc>
        <w:tc>
          <w:tcPr>
            <w:tcW w:w="160" w:type="dxa"/>
            <w:vAlign w:val="bottom"/>
          </w:tcPr>
          <w:p>
            <w:pPr>
              <w:spacing w:after="0"/>
              <w:rPr>
                <w:sz w:val="21"/>
                <w:szCs w:val="21"/>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6,300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3,611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351</w:t>
            </w:r>
          </w:p>
        </w:tc>
        <w:tc>
          <w:tcPr>
            <w:tcW w:w="60" w:type="dxa"/>
            <w:vAlign w:val="bottom"/>
          </w:tcPr>
          <w:p>
            <w:pPr>
              <w:spacing w:after="0"/>
              <w:rPr>
                <w:sz w:val="21"/>
                <w:szCs w:val="21"/>
                <w:color w:val="auto"/>
              </w:rPr>
            </w:pPr>
          </w:p>
        </w:tc>
      </w:tr>
      <w:tr>
        <w:trPr>
          <w:trHeight w:val="206"/>
        </w:trPr>
        <w:tc>
          <w:tcPr>
            <w:tcW w:w="594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20"/>
                <w:szCs w:val="20"/>
                <w:color w:val="231F20"/>
              </w:rPr>
              <w:t>......................................................................BalanceasofJune30,2025</w:t>
            </w:r>
          </w:p>
        </w:tc>
        <w:tc>
          <w:tcPr>
            <w:tcW w:w="160" w:type="dxa"/>
            <w:vAlign w:val="bottom"/>
          </w:tcPr>
          <w:p>
            <w:pPr>
              <w:spacing w:after="0"/>
              <w:rPr>
                <w:sz w:val="17"/>
                <w:szCs w:val="17"/>
                <w:color w:val="auto"/>
              </w:rPr>
            </w:pPr>
          </w:p>
        </w:tc>
        <w:tc>
          <w:tcPr>
            <w:tcW w:w="1360" w:type="dxa"/>
            <w:vAlign w:val="bottom"/>
          </w:tcPr>
          <w:p>
            <w:pPr>
              <w:jc w:val="right"/>
              <w:ind w:right="4"/>
              <w:spacing w:after="0" w:line="206" w:lineRule="exact"/>
              <w:rPr>
                <w:sz w:val="20"/>
                <w:szCs w:val="20"/>
                <w:color w:val="auto"/>
              </w:rPr>
            </w:pPr>
            <w:r>
              <w:rPr>
                <w:rFonts w:ascii="Times New Roman" w:cs="Times New Roman" w:eastAsia="Times New Roman" w:hAnsi="Times New Roman"/>
                <w:sz w:val="20"/>
                <w:szCs w:val="20"/>
                <w:color w:val="231F20"/>
              </w:rPr>
              <w:t>117,132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
              <w:spacing w:after="0" w:line="206" w:lineRule="exact"/>
              <w:rPr>
                <w:sz w:val="20"/>
                <w:szCs w:val="20"/>
                <w:color w:val="auto"/>
              </w:rPr>
            </w:pPr>
            <w:r>
              <w:rPr>
                <w:rFonts w:ascii="Times New Roman" w:cs="Times New Roman" w:eastAsia="Times New Roman" w:hAnsi="Times New Roman"/>
                <w:sz w:val="20"/>
                <w:szCs w:val="20"/>
                <w:color w:val="231F20"/>
              </w:rPr>
              <w:t>7,952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659</w:t>
            </w:r>
          </w:p>
        </w:tc>
        <w:tc>
          <w:tcPr>
            <w:tcW w:w="20" w:type="dxa"/>
            <w:vAlign w:val="bottom"/>
            <w:tcBorders>
              <w:top w:val="single" w:sz="8" w:color="231F20"/>
            </w:tcBorders>
          </w:tcPr>
          <w:p>
            <w:pPr>
              <w:spacing w:after="0"/>
              <w:rPr>
                <w:sz w:val="17"/>
                <w:szCs w:val="17"/>
                <w:color w:val="auto"/>
              </w:rPr>
            </w:pPr>
          </w:p>
        </w:tc>
        <w:tc>
          <w:tcPr>
            <w:tcW w:w="60" w:type="dxa"/>
            <w:vAlign w:val="bottom"/>
            <w:tcBorders>
              <w:top w:val="single" w:sz="8" w:color="231F20"/>
            </w:tcBorders>
          </w:tcPr>
          <w:p>
            <w:pPr>
              <w:spacing w:after="0"/>
              <w:rPr>
                <w:sz w:val="17"/>
                <w:szCs w:val="17"/>
                <w:color w:val="auto"/>
              </w:rPr>
            </w:pPr>
          </w:p>
        </w:tc>
      </w:tr>
      <w:tr>
        <w:trPr>
          <w:trHeight w:val="249"/>
        </w:trPr>
        <w:tc>
          <w:tcPr>
            <w:tcW w:w="5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Changes in fair value – expense (gain) .................................................</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4,822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293</w:t>
            </w:r>
          </w:p>
        </w:tc>
      </w:tr>
      <w:tr>
        <w:trPr>
          <w:trHeight w:val="206"/>
        </w:trPr>
        <w:tc>
          <w:tcPr>
            <w:tcW w:w="594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20"/>
                <w:szCs w:val="20"/>
                <w:color w:val="231F20"/>
              </w:rPr>
              <w:t>............................................................BalanceasofSeptember30,2025</w:t>
            </w:r>
          </w:p>
        </w:tc>
        <w:tc>
          <w:tcPr>
            <w:tcW w:w="160" w:type="dxa"/>
            <w:vAlign w:val="bottom"/>
          </w:tcPr>
          <w:p>
            <w:pPr>
              <w:spacing w:after="0"/>
              <w:rPr>
                <w:sz w:val="17"/>
                <w:szCs w:val="17"/>
                <w:color w:val="auto"/>
              </w:rPr>
            </w:pPr>
          </w:p>
        </w:tc>
        <w:tc>
          <w:tcPr>
            <w:tcW w:w="1360" w:type="dxa"/>
            <w:vAlign w:val="bottom"/>
          </w:tcPr>
          <w:p>
            <w:pPr>
              <w:jc w:val="right"/>
              <w:ind w:right="4"/>
              <w:spacing w:after="0" w:line="206" w:lineRule="exact"/>
              <w:rPr>
                <w:sz w:val="20"/>
                <w:szCs w:val="20"/>
                <w:color w:val="auto"/>
              </w:rPr>
            </w:pPr>
            <w:r>
              <w:rPr>
                <w:rFonts w:ascii="Times New Roman" w:cs="Times New Roman" w:eastAsia="Times New Roman" w:hAnsi="Times New Roman"/>
                <w:sz w:val="20"/>
                <w:szCs w:val="20"/>
                <w:color w:val="231F20"/>
              </w:rPr>
              <w:t>115,141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6"/>
              <w:spacing w:after="0" w:line="206" w:lineRule="exact"/>
              <w:rPr>
                <w:sz w:val="20"/>
                <w:szCs w:val="20"/>
                <w:color w:val="auto"/>
              </w:rPr>
            </w:pPr>
            <w:r>
              <w:rPr>
                <w:rFonts w:ascii="Times New Roman" w:cs="Times New Roman" w:eastAsia="Times New Roman" w:hAnsi="Times New Roman"/>
                <w:sz w:val="20"/>
                <w:szCs w:val="20"/>
                <w:color w:val="231F20"/>
              </w:rPr>
              <w:t>12,774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231F20"/>
              </w:rPr>
              <w:t>952</w:t>
            </w:r>
          </w:p>
        </w:tc>
        <w:tc>
          <w:tcPr>
            <w:tcW w:w="60" w:type="dxa"/>
            <w:vAlign w:val="bottom"/>
            <w:tcBorders>
              <w:top w:val="single" w:sz="8" w:color="231F20"/>
            </w:tcBorders>
          </w:tcPr>
          <w:p>
            <w:pPr>
              <w:spacing w:after="0"/>
              <w:rPr>
                <w:sz w:val="17"/>
                <w:szCs w:val="17"/>
                <w:color w:val="auto"/>
              </w:rPr>
            </w:pPr>
          </w:p>
        </w:tc>
      </w:tr>
      <w:tr>
        <w:trPr>
          <w:trHeight w:val="249"/>
        </w:trPr>
        <w:tc>
          <w:tcPr>
            <w:tcW w:w="5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Changes in fair value – expense ............................................................</w:t>
            </w:r>
          </w:p>
        </w:tc>
        <w:tc>
          <w:tcPr>
            <w:tcW w:w="16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8,577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5,101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411</w:t>
            </w:r>
          </w:p>
        </w:tc>
        <w:tc>
          <w:tcPr>
            <w:tcW w:w="60" w:type="dxa"/>
            <w:vAlign w:val="bottom"/>
            <w:tcBorders>
              <w:bottom w:val="single" w:sz="8" w:color="231F20"/>
            </w:tcBorders>
          </w:tcPr>
          <w:p>
            <w:pPr>
              <w:spacing w:after="0"/>
              <w:rPr>
                <w:sz w:val="21"/>
                <w:szCs w:val="21"/>
                <w:color w:val="auto"/>
              </w:rPr>
            </w:pPr>
          </w:p>
        </w:tc>
      </w:tr>
      <w:tr>
        <w:trPr>
          <w:trHeight w:val="225"/>
        </w:trPr>
        <w:tc>
          <w:tcPr>
            <w:tcW w:w="594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231F20"/>
              </w:rPr>
              <w:t>.............................................................BalanceasofDecember31,2025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60" w:type="dxa"/>
            <w:vAlign w:val="bottom"/>
          </w:tcPr>
          <w:p>
            <w:pPr>
              <w:jc w:val="right"/>
              <w:ind w:right="4"/>
              <w:spacing w:after="0" w:line="225" w:lineRule="exact"/>
              <w:rPr>
                <w:sz w:val="20"/>
                <w:szCs w:val="20"/>
                <w:color w:val="auto"/>
              </w:rPr>
            </w:pPr>
            <w:r>
              <w:rPr>
                <w:rFonts w:ascii="Times New Roman" w:cs="Times New Roman" w:eastAsia="Times New Roman" w:hAnsi="Times New Roman"/>
                <w:sz w:val="20"/>
                <w:szCs w:val="20"/>
                <w:color w:val="231F20"/>
              </w:rPr>
              <w:t>123,718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Pr>
          <w:p>
            <w:pPr>
              <w:jc w:val="right"/>
              <w:ind w:right="6"/>
              <w:spacing w:after="0" w:line="225" w:lineRule="exact"/>
              <w:rPr>
                <w:sz w:val="20"/>
                <w:szCs w:val="20"/>
                <w:color w:val="auto"/>
              </w:rPr>
            </w:pPr>
            <w:r>
              <w:rPr>
                <w:rFonts w:ascii="Times New Roman" w:cs="Times New Roman" w:eastAsia="Times New Roman" w:hAnsi="Times New Roman"/>
                <w:sz w:val="20"/>
                <w:szCs w:val="20"/>
                <w:color w:val="231F20"/>
              </w:rPr>
              <w:t>17,875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1,363</w:t>
            </w:r>
          </w:p>
        </w:tc>
        <w:tc>
          <w:tcPr>
            <w:tcW w:w="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-1102360</wp:posOffset>
            </wp:positionV>
            <wp:extent cx="307784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extLst>
                    </a:blip>
                    <a:srcRect/>
                    <a:stretch>
                      <a:fillRect/>
                    </a:stretch>
                  </pic:blipFill>
                  <pic:spPr bwMode="auto">
                    <a:xfrm>
                      <a:off x="0" y="0"/>
                      <a:ext cx="3077845" cy="3810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-800735</wp:posOffset>
            </wp:positionV>
            <wp:extent cx="307784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1">
                      <a:extLst>
                        <a:ext uri="{28A0092B-C50C-407E-A947-70E740481C1C}"/>
                      </a:extLst>
                    </a:blip>
                    <a:srcRect/>
                    <a:stretch>
                      <a:fillRect/>
                    </a:stretch>
                  </pic:blipFill>
                  <pic:spPr bwMode="auto">
                    <a:xfrm>
                      <a:off x="0" y="0"/>
                      <a:ext cx="3077845" cy="3810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-499110</wp:posOffset>
            </wp:positionV>
            <wp:extent cx="30778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2">
                      <a:extLst>
                        <a:ext uri="{28A0092B-C50C-407E-A947-70E740481C1C}"/>
                      </a:extLst>
                    </a:blip>
                    <a:srcRect/>
                    <a:stretch>
                      <a:fillRect/>
                    </a:stretch>
                  </pic:blipFill>
                  <pic:spPr bwMode="auto">
                    <a:xfrm>
                      <a:off x="0" y="0"/>
                      <a:ext cx="3077845" cy="3810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20"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31F20"/>
        </w:rPr>
        <w:t>The Company utilizes significant estimates and assumptions it believes would be made by a market participant in determining the estimated fair value of the Cobalt Contingent Consideration at each balance sheet date. The fair value of the Cobalt Contingent Consideration was determined by calculating the probability-weighted estimated value of the pre-specified development milestone payments, which are payable in cash or stock based on the assessment of the likelihood and estimated timing that the milestones would be achieved and the applicable discount rates. The discount rate captures the credit risk associated with the payment of the contingent consideration when earned and due. The Company assesses these estimates on an ongoing basis as additional data impacting the assumptions are obtained.</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fair value of the Cobalt Contingent Consideration was calculated using the following unobservable inputs: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Unobservable Input</w:t>
            </w:r>
          </w:p>
        </w:tc>
        <w:tc>
          <w:tcPr>
            <w:tcW w:w="3300" w:type="dxa"/>
            <w:vAlign w:val="bottom"/>
            <w:tcBorders>
              <w:bottom w:val="single" w:sz="8" w:color="231F20"/>
            </w:tcBorders>
            <w:gridSpan w:val="4"/>
          </w:tcPr>
          <w:p>
            <w:pPr>
              <w:ind w:left="98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231F20"/>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0" w:type="dxa"/>
            <w:vAlign w:val="bottom"/>
          </w:tcPr>
          <w:p>
            <w:pPr>
              <w:spacing w:after="0"/>
              <w:rPr>
                <w:sz w:val="1"/>
                <w:szCs w:val="1"/>
                <w:color w:val="auto"/>
              </w:rPr>
            </w:pPr>
          </w:p>
        </w:tc>
      </w:tr>
      <w:tr>
        <w:trPr>
          <w:trHeight w:val="199"/>
        </w:trPr>
        <w:tc>
          <w:tcPr>
            <w:tcW w:w="4060" w:type="dxa"/>
            <w:vAlign w:val="bottom"/>
            <w:gridSpan w:val="3"/>
            <w:vMerge w:val="continue"/>
          </w:tcPr>
          <w:p>
            <w:pPr>
              <w:spacing w:after="0"/>
              <w:rPr>
                <w:sz w:val="17"/>
                <w:szCs w:val="17"/>
                <w:color w:val="auto"/>
              </w:rPr>
            </w:pPr>
          </w:p>
        </w:tc>
        <w:tc>
          <w:tcPr>
            <w:tcW w:w="1480" w:type="dxa"/>
            <w:vAlign w:val="bottom"/>
          </w:tcPr>
          <w:p>
            <w:pPr>
              <w:ind w:left="520"/>
              <w:spacing w:after="0" w:line="179" w:lineRule="exact"/>
              <w:rPr>
                <w:sz w:val="20"/>
                <w:szCs w:val="20"/>
                <w:color w:val="auto"/>
              </w:rPr>
            </w:pPr>
            <w:r>
              <w:rPr>
                <w:rFonts w:ascii="Times New Roman" w:cs="Times New Roman" w:eastAsia="Times New Roman" w:hAnsi="Times New Roman"/>
                <w:sz w:val="16"/>
                <w:szCs w:val="16"/>
                <w:b w:val="1"/>
                <w:bCs w:val="1"/>
                <w:color w:val="231F20"/>
              </w:rPr>
              <w:t>Range</w:t>
            </w:r>
          </w:p>
        </w:tc>
        <w:tc>
          <w:tcPr>
            <w:tcW w:w="180" w:type="dxa"/>
            <w:vAlign w:val="bottom"/>
          </w:tcPr>
          <w:p>
            <w:pPr>
              <w:spacing w:after="0"/>
              <w:rPr>
                <w:sz w:val="17"/>
                <w:szCs w:val="17"/>
                <w:color w:val="auto"/>
              </w:rPr>
            </w:pPr>
          </w:p>
        </w:tc>
        <w:tc>
          <w:tcPr>
            <w:tcW w:w="164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ind w:left="520"/>
              <w:spacing w:after="0" w:line="179" w:lineRule="exact"/>
              <w:rPr>
                <w:sz w:val="20"/>
                <w:szCs w:val="20"/>
                <w:color w:val="auto"/>
              </w:rPr>
            </w:pPr>
            <w:r>
              <w:rPr>
                <w:rFonts w:ascii="Times New Roman" w:cs="Times New Roman" w:eastAsia="Times New Roman" w:hAnsi="Times New Roman"/>
                <w:sz w:val="16"/>
                <w:szCs w:val="16"/>
                <w:b w:val="1"/>
                <w:bCs w:val="1"/>
                <w:color w:val="231F20"/>
              </w:rPr>
              <w:t>Range</w:t>
            </w:r>
          </w:p>
        </w:tc>
        <w:tc>
          <w:tcPr>
            <w:tcW w:w="180" w:type="dxa"/>
            <w:vAlign w:val="bottom"/>
          </w:tcPr>
          <w:p>
            <w:pPr>
              <w:spacing w:after="0"/>
              <w:rPr>
                <w:sz w:val="17"/>
                <w:szCs w:val="17"/>
                <w:color w:val="auto"/>
              </w:rPr>
            </w:pPr>
          </w:p>
        </w:tc>
        <w:tc>
          <w:tcPr>
            <w:tcW w:w="16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0" w:type="dxa"/>
            <w:vAlign w:val="bottom"/>
          </w:tcPr>
          <w:p>
            <w:pPr>
              <w:spacing w:after="0"/>
              <w:rPr>
                <w:sz w:val="1"/>
                <w:szCs w:val="1"/>
                <w:color w:val="auto"/>
              </w:rPr>
            </w:pPr>
          </w:p>
        </w:tc>
      </w:tr>
      <w:tr>
        <w:trPr>
          <w:trHeight w:val="214"/>
        </w:trPr>
        <w:tc>
          <w:tcPr>
            <w:tcW w:w="3880" w:type="dxa"/>
            <w:vAlign w:val="bottom"/>
            <w:tcBorders>
              <w:top w:val="single" w:sz="8" w:color="231F20"/>
            </w:tcBorders>
          </w:tcPr>
          <w:p>
            <w:pPr>
              <w:spacing w:after="0" w:line="213" w:lineRule="exact"/>
              <w:rPr>
                <w:sz w:val="20"/>
                <w:szCs w:val="20"/>
                <w:color w:val="auto"/>
              </w:rPr>
            </w:pPr>
            <w:r>
              <w:rPr>
                <w:rFonts w:ascii="Times New Roman" w:cs="Times New Roman" w:eastAsia="Times New Roman" w:hAnsi="Times New Roman"/>
                <w:sz w:val="20"/>
                <w:szCs w:val="20"/>
                <w:color w:val="231F20"/>
              </w:rPr>
              <w:t>Discount rates......................................................</w:t>
            </w:r>
          </w:p>
        </w:tc>
        <w:tc>
          <w:tcPr>
            <w:tcW w:w="16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480" w:type="dxa"/>
            <w:vAlign w:val="bottom"/>
            <w:tcBorders>
              <w:top w:val="single" w:sz="8" w:color="231F20"/>
            </w:tcBorders>
          </w:tcPr>
          <w:p>
            <w:pPr>
              <w:jc w:val="center"/>
              <w:spacing w:after="0" w:line="213" w:lineRule="exact"/>
              <w:rPr>
                <w:sz w:val="20"/>
                <w:szCs w:val="20"/>
                <w:color w:val="auto"/>
              </w:rPr>
            </w:pPr>
            <w:r>
              <w:rPr>
                <w:rFonts w:ascii="Times New Roman" w:cs="Times New Roman" w:eastAsia="Times New Roman" w:hAnsi="Times New Roman"/>
                <w:sz w:val="20"/>
                <w:szCs w:val="20"/>
                <w:color w:val="231F20"/>
              </w:rPr>
              <w:t>10.6% – 12.1%</w:t>
            </w:r>
          </w:p>
        </w:tc>
        <w:tc>
          <w:tcPr>
            <w:tcW w:w="180" w:type="dxa"/>
            <w:vAlign w:val="bottom"/>
          </w:tcPr>
          <w:p>
            <w:pPr>
              <w:spacing w:after="0"/>
              <w:rPr>
                <w:sz w:val="18"/>
                <w:szCs w:val="18"/>
                <w:color w:val="auto"/>
              </w:rPr>
            </w:pPr>
          </w:p>
        </w:tc>
        <w:tc>
          <w:tcPr>
            <w:tcW w:w="1620" w:type="dxa"/>
            <w:vAlign w:val="bottom"/>
            <w:tcBorders>
              <w:top w:val="single" w:sz="8" w:color="231F20"/>
            </w:tcBorders>
          </w:tcPr>
          <w:p>
            <w:pPr>
              <w:jc w:val="center"/>
              <w:spacing w:after="0" w:line="213" w:lineRule="exact"/>
              <w:rPr>
                <w:sz w:val="20"/>
                <w:szCs w:val="20"/>
                <w:color w:val="auto"/>
              </w:rPr>
            </w:pPr>
            <w:r>
              <w:rPr>
                <w:rFonts w:ascii="Times New Roman" w:cs="Times New Roman" w:eastAsia="Times New Roman" w:hAnsi="Times New Roman"/>
                <w:sz w:val="20"/>
                <w:szCs w:val="20"/>
                <w:color w:val="231F20"/>
              </w:rPr>
              <w:t>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480" w:type="dxa"/>
            <w:vAlign w:val="bottom"/>
            <w:tcBorders>
              <w:top w:val="single" w:sz="8" w:color="231F20"/>
            </w:tcBorders>
          </w:tcPr>
          <w:p>
            <w:pPr>
              <w:jc w:val="center"/>
              <w:spacing w:after="0" w:line="213" w:lineRule="exact"/>
              <w:rPr>
                <w:sz w:val="20"/>
                <w:szCs w:val="20"/>
                <w:color w:val="auto"/>
              </w:rPr>
            </w:pPr>
            <w:r>
              <w:rPr>
                <w:rFonts w:ascii="Times New Roman" w:cs="Times New Roman" w:eastAsia="Times New Roman" w:hAnsi="Times New Roman"/>
                <w:sz w:val="20"/>
                <w:szCs w:val="20"/>
                <w:color w:val="231F20"/>
              </w:rPr>
              <w:t>11.3% – 12.3%</w:t>
            </w:r>
          </w:p>
        </w:tc>
        <w:tc>
          <w:tcPr>
            <w:tcW w:w="180" w:type="dxa"/>
            <w:vAlign w:val="bottom"/>
          </w:tcPr>
          <w:p>
            <w:pPr>
              <w:spacing w:after="0"/>
              <w:rPr>
                <w:sz w:val="18"/>
                <w:szCs w:val="18"/>
                <w:color w:val="auto"/>
              </w:rPr>
            </w:pPr>
          </w:p>
        </w:tc>
        <w:tc>
          <w:tcPr>
            <w:tcW w:w="1620" w:type="dxa"/>
            <w:vAlign w:val="bottom"/>
            <w:tcBorders>
              <w:top w:val="single" w:sz="8" w:color="231F20"/>
            </w:tcBorders>
          </w:tcPr>
          <w:p>
            <w:pPr>
              <w:jc w:val="center"/>
              <w:spacing w:after="0" w:line="213" w:lineRule="exact"/>
              <w:rPr>
                <w:sz w:val="20"/>
                <w:szCs w:val="20"/>
                <w:color w:val="auto"/>
              </w:rPr>
            </w:pPr>
            <w:r>
              <w:rPr>
                <w:rFonts w:ascii="Times New Roman" w:cs="Times New Roman" w:eastAsia="Times New Roman" w:hAnsi="Times New Roman"/>
                <w:sz w:val="20"/>
                <w:szCs w:val="20"/>
                <w:color w:val="231F20"/>
              </w:rPr>
              <w:t>11.9%</w:t>
            </w:r>
          </w:p>
        </w:tc>
        <w:tc>
          <w:tcPr>
            <w:tcW w:w="0" w:type="dxa"/>
            <w:vAlign w:val="bottom"/>
          </w:tcPr>
          <w:p>
            <w:pPr>
              <w:spacing w:after="0"/>
              <w:rPr>
                <w:sz w:val="1"/>
                <w:szCs w:val="1"/>
                <w:color w:val="auto"/>
              </w:rPr>
            </w:pPr>
          </w:p>
        </w:tc>
      </w:tr>
      <w:tr>
        <w:trPr>
          <w:trHeight w:val="266"/>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Probability of milestone achievement.................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 – 60.0%</w:t>
            </w:r>
          </w:p>
        </w:tc>
        <w:tc>
          <w:tcPr>
            <w:tcW w:w="18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rPr>
              <w:t>27.4%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5.0% –55.0%</w:t>
            </w:r>
          </w:p>
        </w:tc>
        <w:tc>
          <w:tcPr>
            <w:tcW w:w="18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6"/>
              </w:rPr>
              <w:t>25.7%</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weighted-average unobservable inputs were calculated based on the relative value of the pre-specified development milestones. The estimated fair value of the Cobalt Contingent Consideration may change significantly as development progresses and additional data are obtained, impacting the assumptions regarding probabilities of successful achievement of the milestones used to estimate the fair value of the liability and the timing in which they are expected to be achieved. In evaluating the fair value assumptions, judgment is required to interpret the market data used to develop the estimates. The estimates of fair value may not be indicative of the amounts that could be realized in a current market exchange. Accordingly, the use of different market assumptions, inputs and/or different valuation techniques could result in materially different fair value estimates.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Success payments</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The Company utilizes significant estimates and assumptions in determining the estimated fair value of the success payment liabilities and the associated expense or gain at each balance sheet date. The estimated fair value of the Cobalt Success Payment and Harvard Success Payment liabilities was determined using a Monte Carlo simulation methodology, which models the estimated fair value of the liability based on several key assumptions, including the expected volatility, remaining term, risk-free interest rate,</w:t>
      </w:r>
    </w:p>
    <w:p>
      <w:pPr>
        <w:sectPr>
          <w:pgSz w:w="11880" w:h="15480" w:orient="portrait"/>
          <w:cols w:equalWidth="0" w:num="1">
            <w:col w:w="10800"/>
          </w:cols>
          <w:pgMar w:left="540" w:top="742" w:right="54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168</w:t>
      </w:r>
    </w:p>
    <w:p>
      <w:pPr>
        <w:sectPr>
          <w:pgSz w:w="11880" w:h="15480" w:orient="portrait"/>
          <w:cols w:equalWidth="0" w:num="1">
            <w:col w:w="10800"/>
          </w:cols>
          <w:pgMar w:left="540" w:top="742" w:right="540" w:bottom="0" w:gutter="0" w:footer="0" w:header="0"/>
          <w:type w:val="continuous"/>
        </w:sectPr>
      </w:pPr>
    </w:p>
    <w:bookmarkStart w:id="174" w:name="page175"/>
    <w:bookmarkEnd w:id="174"/>
    <w:p>
      <w:pPr>
        <w:ind w:right="380"/>
        <w:spacing w:after="0" w:line="252" w:lineRule="auto"/>
        <w:rPr>
          <w:sz w:val="20"/>
          <w:szCs w:val="20"/>
          <w:color w:val="auto"/>
        </w:rPr>
      </w:pPr>
      <w:r>
        <w:rPr>
          <w:rFonts w:ascii="Times New Roman" w:cs="Times New Roman" w:eastAsia="Times New Roman" w:hAnsi="Times New Roman"/>
          <w:sz w:val="20"/>
          <w:szCs w:val="20"/>
          <w:color w:val="231F20"/>
        </w:rPr>
        <w:t>estimated number and timing of valuation measurement dates on the basis of which payment may be triggered, and, for the Cobalt Success Payment, the Company’s market capitalization, and for the Harvard Success Payments, the per share fair value of the Company’s common stock. The potential Cobalt Success Payment is payable in cash or stock, and the potential Harvard Success Payments are payable in cash.</w:t>
      </w:r>
    </w:p>
    <w:p>
      <w:pPr>
        <w:spacing w:after="0" w:line="194" w:lineRule="exact"/>
        <w:rPr>
          <w:sz w:val="20"/>
          <w:szCs w:val="20"/>
          <w:color w:val="auto"/>
        </w:rPr>
      </w:pPr>
    </w:p>
    <w:p>
      <w:pPr>
        <w:ind w:right="1040" w:firstLine="490"/>
        <w:spacing w:after="0" w:line="277" w:lineRule="auto"/>
        <w:rPr>
          <w:sz w:val="20"/>
          <w:szCs w:val="20"/>
          <w:color w:val="auto"/>
        </w:rPr>
      </w:pPr>
      <w:r>
        <w:rPr>
          <w:rFonts w:ascii="Times New Roman" w:cs="Times New Roman" w:eastAsia="Times New Roman" w:hAnsi="Times New Roman"/>
          <w:sz w:val="20"/>
          <w:szCs w:val="20"/>
          <w:color w:val="231F20"/>
        </w:rPr>
        <w:t>The fair values of the Cobalt Success Payments and Harvard Success Payments were calculated using the following unobservable inputs: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Unobservable Input</w:t>
            </w:r>
          </w:p>
        </w:tc>
        <w:tc>
          <w:tcPr>
            <w:tcW w:w="1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230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230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0" w:type="dxa"/>
            <w:vAlign w:val="bottom"/>
          </w:tcPr>
          <w:p>
            <w:pPr>
              <w:spacing w:after="0"/>
              <w:rPr>
                <w:sz w:val="1"/>
                <w:szCs w:val="1"/>
                <w:color w:val="auto"/>
              </w:rPr>
            </w:pPr>
          </w:p>
        </w:tc>
      </w:tr>
      <w:tr>
        <w:trPr>
          <w:trHeight w:val="179"/>
        </w:trPr>
        <w:tc>
          <w:tcPr>
            <w:tcW w:w="3880" w:type="dxa"/>
            <w:vAlign w:val="bottom"/>
            <w:tcBorders>
              <w:bottom w:val="single" w:sz="8" w:color="231F20"/>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tcBorders>
              <w:bottom w:val="single" w:sz="8" w:color="231F20"/>
            </w:tcBorders>
            <w:vMerge w:val="continue"/>
          </w:tcPr>
          <w:p>
            <w:pPr>
              <w:spacing w:after="0"/>
              <w:rPr>
                <w:sz w:val="15"/>
                <w:szCs w:val="15"/>
                <w:color w:val="auto"/>
              </w:rPr>
            </w:pPr>
          </w:p>
        </w:tc>
        <w:tc>
          <w:tcPr>
            <w:tcW w:w="980" w:type="dxa"/>
            <w:vAlign w:val="bottom"/>
            <w:tcBorders>
              <w:bottom w:val="single" w:sz="8" w:color="231F20"/>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Cobalt</w:t>
            </w:r>
          </w:p>
        </w:tc>
        <w:tc>
          <w:tcPr>
            <w:tcW w:w="50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231F20"/>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231F20"/>
              </w:rPr>
              <w:t>Harvard</w:t>
            </w:r>
          </w:p>
        </w:tc>
        <w:tc>
          <w:tcPr>
            <w:tcW w:w="16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Cobalt</w:t>
            </w:r>
          </w:p>
        </w:tc>
        <w:tc>
          <w:tcPr>
            <w:tcW w:w="50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231F20"/>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231F20"/>
              </w:rPr>
              <w:t>Harvard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Expected stock price volatility ............................</w:t>
            </w: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231F20"/>
                <w:w w:val="96"/>
              </w:rPr>
              <w:t>77.5%</w:t>
            </w:r>
          </w:p>
        </w:tc>
        <w:tc>
          <w:tcPr>
            <w:tcW w:w="17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231F20"/>
              </w:rPr>
              <w:t>77.5%</w:t>
            </w:r>
          </w:p>
        </w:tc>
        <w:tc>
          <w:tcPr>
            <w:tcW w:w="120" w:type="dxa"/>
            <w:vAlign w:val="bottom"/>
          </w:tcPr>
          <w:p>
            <w:pPr>
              <w:spacing w:after="0"/>
              <w:rPr>
                <w:sz w:val="20"/>
                <w:szCs w:val="20"/>
                <w:color w:val="auto"/>
              </w:rPr>
            </w:pPr>
          </w:p>
        </w:tc>
        <w:tc>
          <w:tcPr>
            <w:tcW w:w="154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231F20"/>
              </w:rPr>
              <w:t>75.0%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62"/>
              <w:spacing w:after="0"/>
              <w:rPr>
                <w:sz w:val="20"/>
                <w:szCs w:val="20"/>
                <w:color w:val="auto"/>
              </w:rPr>
            </w:pPr>
            <w:r>
              <w:rPr>
                <w:rFonts w:ascii="Times New Roman" w:cs="Times New Roman" w:eastAsia="Times New Roman" w:hAnsi="Times New Roman"/>
                <w:sz w:val="20"/>
                <w:szCs w:val="20"/>
                <w:color w:val="231F20"/>
              </w:rPr>
              <w:t>75.0%</w:t>
            </w: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Expected term (years) .........................................</w:t>
            </w: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231F20"/>
              </w:rPr>
              <w:t>13.1</w:t>
            </w:r>
          </w:p>
        </w:tc>
        <w:tc>
          <w:tcPr>
            <w:tcW w:w="170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231F20"/>
              </w:rPr>
              <w:t>5.2</w:t>
            </w:r>
          </w:p>
        </w:tc>
        <w:tc>
          <w:tcPr>
            <w:tcW w:w="120" w:type="dxa"/>
            <w:vAlign w:val="bottom"/>
          </w:tcPr>
          <w:p>
            <w:pPr>
              <w:spacing w:after="0"/>
              <w:rPr>
                <w:sz w:val="23"/>
                <w:szCs w:val="23"/>
                <w:color w:val="auto"/>
              </w:rPr>
            </w:pPr>
          </w:p>
        </w:tc>
        <w:tc>
          <w:tcPr>
            <w:tcW w:w="1540" w:type="dxa"/>
            <w:vAlign w:val="bottom"/>
          </w:tcPr>
          <w:p>
            <w:pPr>
              <w:jc w:val="right"/>
              <w:ind w:right="484"/>
              <w:spacing w:after="0"/>
              <w:rPr>
                <w:sz w:val="20"/>
                <w:szCs w:val="20"/>
                <w:color w:val="auto"/>
              </w:rPr>
            </w:pPr>
            <w:r>
              <w:rPr>
                <w:rFonts w:ascii="Times New Roman" w:cs="Times New Roman" w:eastAsia="Times New Roman" w:hAnsi="Times New Roman"/>
                <w:sz w:val="20"/>
                <w:szCs w:val="20"/>
                <w:color w:val="231F20"/>
              </w:rPr>
              <w:t>14.1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582"/>
              <w:spacing w:after="0"/>
              <w:rPr>
                <w:sz w:val="20"/>
                <w:szCs w:val="20"/>
                <w:color w:val="auto"/>
              </w:rPr>
            </w:pPr>
            <w:r>
              <w:rPr>
                <w:rFonts w:ascii="Times New Roman" w:cs="Times New Roman" w:eastAsia="Times New Roman" w:hAnsi="Times New Roman"/>
                <w:sz w:val="20"/>
                <w:szCs w:val="20"/>
                <w:color w:val="231F20"/>
              </w:rPr>
              <w:t>6.2</w:t>
            </w:r>
          </w:p>
        </w:tc>
      </w:tr>
      <w:tr>
        <w:trPr>
          <w:trHeight w:val="630"/>
        </w:trPr>
        <w:tc>
          <w:tcPr>
            <w:tcW w:w="45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8. Property and equipment, net</w:t>
            </w: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6"/>
        </w:trPr>
        <w:tc>
          <w:tcPr>
            <w:tcW w:w="566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Property and equipment, net consists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3"/>
        </w:trPr>
        <w:tc>
          <w:tcPr>
            <w:tcW w:w="4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160" w:type="dxa"/>
            <w:vAlign w:val="bottom"/>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5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r>
      <w:tr>
        <w:trPr>
          <w:trHeight w:val="160"/>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gridSpan w:val="4"/>
          </w:tcPr>
          <w:p>
            <w:pPr>
              <w:jc w:val="right"/>
              <w:ind w:right="1182"/>
              <w:spacing w:after="0" w:line="160" w:lineRule="exact"/>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77"/>
              </w:rPr>
              <w:t>Laboratory equipment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38,462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52,957</w:t>
            </w: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78"/>
              </w:rPr>
              <w:t>Leasehold improvements .......................................................................................................</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39,061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33,344</w:t>
            </w: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78"/>
              </w:rPr>
              <w:t>Construction in progress ........................................................................................................</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40,337</w:t>
            </w:r>
          </w:p>
        </w:tc>
      </w:tr>
      <w:tr>
        <w:trPr>
          <w:trHeight w:val="249"/>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77"/>
              </w:rPr>
              <w:t>Computer equipment, software, and other .............................................................................</w:t>
            </w:r>
          </w:p>
        </w:tc>
        <w:tc>
          <w:tcPr>
            <w:tcW w:w="17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4,138</w:t>
            </w:r>
          </w:p>
        </w:tc>
        <w:tc>
          <w:tcPr>
            <w:tcW w:w="16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4,836</w:t>
            </w:r>
          </w:p>
        </w:tc>
      </w:tr>
      <w:tr>
        <w:trPr>
          <w:trHeight w:val="206"/>
        </w:trPr>
        <w:tc>
          <w:tcPr>
            <w:tcW w:w="56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231F20"/>
              </w:rPr>
              <w:t>...................................................................................Totalpropertyandequipment,atcost</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line="206" w:lineRule="exact"/>
              <w:rPr>
                <w:sz w:val="20"/>
                <w:szCs w:val="20"/>
                <w:color w:val="auto"/>
              </w:rPr>
            </w:pPr>
            <w:r>
              <w:rPr>
                <w:rFonts w:ascii="Times New Roman" w:cs="Times New Roman" w:eastAsia="Times New Roman" w:hAnsi="Times New Roman"/>
                <w:sz w:val="20"/>
                <w:szCs w:val="20"/>
                <w:color w:val="231F20"/>
              </w:rPr>
              <w:t>81,661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131,474</w:t>
            </w:r>
          </w:p>
        </w:tc>
      </w:tr>
      <w:tr>
        <w:trPr>
          <w:trHeight w:val="249"/>
        </w:trPr>
        <w:tc>
          <w:tcPr>
            <w:tcW w:w="5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78"/>
              </w:rPr>
              <w:t>Less: Accumulated depreciation ............................................................................................</w:t>
            </w:r>
          </w:p>
        </w:tc>
        <w:tc>
          <w:tcPr>
            <w:tcW w:w="17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(54,755)</w:t>
            </w:r>
          </w:p>
        </w:tc>
        <w:tc>
          <w:tcPr>
            <w:tcW w:w="16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(54,166)</w:t>
            </w:r>
          </w:p>
        </w:tc>
      </w:tr>
      <w:tr>
        <w:trPr>
          <w:trHeight w:val="225"/>
        </w:trPr>
        <w:tc>
          <w:tcPr>
            <w:tcW w:w="56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231F20"/>
              </w:rPr>
              <w:t>..................................................................................................Propertyandequipment,net</w:t>
            </w:r>
          </w:p>
        </w:tc>
        <w:tc>
          <w:tcPr>
            <w:tcW w:w="170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bottom w:val="single" w:sz="8" w:color="231F20"/>
            </w:tcBorders>
          </w:tcPr>
          <w:p>
            <w:pPr>
              <w:jc w:val="right"/>
              <w:ind w:right="4"/>
              <w:spacing w:after="0" w:line="225" w:lineRule="exact"/>
              <w:rPr>
                <w:sz w:val="20"/>
                <w:szCs w:val="20"/>
                <w:color w:val="auto"/>
              </w:rPr>
            </w:pPr>
            <w:r>
              <w:rPr>
                <w:rFonts w:ascii="Times New Roman" w:cs="Times New Roman" w:eastAsia="Times New Roman" w:hAnsi="Times New Roman"/>
                <w:sz w:val="20"/>
                <w:szCs w:val="20"/>
                <w:color w:val="231F20"/>
              </w:rPr>
              <w:t>26,906</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77,308</w:t>
            </w: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r>
    </w:tbl>
    <w:p>
      <w:pPr>
        <w:spacing w:after="0" w:line="297"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231F20"/>
        </w:rPr>
        <w:t>Depreciation expense was $12.8 million, $15.5 million, and $17.5 million for the years ended December 31, 2025, 2024, and 2023, respectively. In the second quarter of 2025, the Company recognized non-cash impairment losses related to construction in progress, laboratory equipment, and leasehold improvements for the Company's manufacturing facility in Bothell, Washington (the Bothell facility) and a portion of the Company's laboratory and office space in Seattle, Washington (the Seattle facility). The losses were recorded as a reduction in the cost of the assets and related accumulated depreciation in the second quarter of 2025. Refer to Note 11, Impairment of long-lived assets for further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Accrued liabilities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Accrued compensation and accrued expenses and other current liabilities consist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1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c>
          <w:tcPr>
            <w:tcW w:w="0" w:type="dxa"/>
            <w:vAlign w:val="bottom"/>
          </w:tcPr>
          <w:p>
            <w:pPr>
              <w:spacing w:after="0"/>
              <w:rPr>
                <w:sz w:val="1"/>
                <w:szCs w:val="1"/>
                <w:color w:val="auto"/>
              </w:rPr>
            </w:pPr>
          </w:p>
        </w:tc>
      </w:tr>
      <w:tr>
        <w:trPr>
          <w:trHeight w:val="216"/>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Accrued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4"/>
          </w:tcPr>
          <w:p>
            <w:pPr>
              <w:jc w:val="right"/>
              <w:ind w:right="1162"/>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16"/>
        </w:trPr>
        <w:tc>
          <w:tcPr>
            <w:tcW w:w="7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Accrued bonuses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8,834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7,704</w:t>
            </w:r>
          </w:p>
        </w:tc>
        <w:tc>
          <w:tcPr>
            <w:tcW w:w="0" w:type="dxa"/>
            <w:vAlign w:val="bottom"/>
          </w:tcPr>
          <w:p>
            <w:pPr>
              <w:spacing w:after="0"/>
              <w:rPr>
                <w:sz w:val="1"/>
                <w:szCs w:val="1"/>
                <w:color w:val="auto"/>
              </w:rPr>
            </w:pPr>
          </w:p>
        </w:tc>
      </w:tr>
      <w:tr>
        <w:trPr>
          <w:trHeight w:val="244"/>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Accrued paid time off........................................................................................................</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2,345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3,151</w:t>
            </w:r>
          </w:p>
        </w:tc>
        <w:tc>
          <w:tcPr>
            <w:tcW w:w="0" w:type="dxa"/>
            <w:vAlign w:val="bottom"/>
          </w:tcPr>
          <w:p>
            <w:pPr>
              <w:spacing w:after="0"/>
              <w:rPr>
                <w:sz w:val="1"/>
                <w:szCs w:val="1"/>
                <w:color w:val="auto"/>
              </w:rPr>
            </w:pPr>
          </w:p>
        </w:tc>
      </w:tr>
      <w:tr>
        <w:trPr>
          <w:trHeight w:val="244"/>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Accrued payroll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1,512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3,021</w:t>
            </w:r>
          </w:p>
        </w:tc>
        <w:tc>
          <w:tcPr>
            <w:tcW w:w="0" w:type="dxa"/>
            <w:vAlign w:val="bottom"/>
          </w:tcPr>
          <w:p>
            <w:pPr>
              <w:spacing w:after="0"/>
              <w:rPr>
                <w:sz w:val="1"/>
                <w:szCs w:val="1"/>
                <w:color w:val="auto"/>
              </w:rPr>
            </w:pPr>
          </w:p>
        </w:tc>
      </w:tr>
      <w:tr>
        <w:trPr>
          <w:trHeight w:val="249"/>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Other accrued compensation .............................................................................................</w:t>
            </w:r>
          </w:p>
        </w:tc>
        <w:tc>
          <w:tcPr>
            <w:tcW w:w="8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549</w:t>
            </w:r>
          </w:p>
        </w:tc>
        <w:tc>
          <w:tcPr>
            <w:tcW w:w="16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573</w:t>
            </w:r>
          </w:p>
        </w:tc>
        <w:tc>
          <w:tcPr>
            <w:tcW w:w="0" w:type="dxa"/>
            <w:vAlign w:val="bottom"/>
          </w:tcPr>
          <w:p>
            <w:pPr>
              <w:spacing w:after="0"/>
              <w:rPr>
                <w:sz w:val="1"/>
                <w:szCs w:val="1"/>
                <w:color w:val="auto"/>
              </w:rPr>
            </w:pPr>
          </w:p>
        </w:tc>
      </w:tr>
      <w:tr>
        <w:trPr>
          <w:trHeight w:val="239"/>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..............................................................................................Totalaccruedcompensation</w:t>
            </w:r>
          </w:p>
        </w:tc>
        <w:tc>
          <w:tcPr>
            <w:tcW w:w="8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54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13,240</w:t>
            </w:r>
          </w:p>
        </w:tc>
        <w:tc>
          <w:tcPr>
            <w:tcW w:w="16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14,449</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Accrued research and development services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5,379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10,493</w:t>
            </w:r>
          </w:p>
        </w:tc>
        <w:tc>
          <w:tcPr>
            <w:tcW w:w="0" w:type="dxa"/>
            <w:vAlign w:val="bottom"/>
          </w:tcPr>
          <w:p>
            <w:pPr>
              <w:spacing w:after="0"/>
              <w:rPr>
                <w:sz w:val="1"/>
                <w:szCs w:val="1"/>
                <w:color w:val="auto"/>
              </w:rPr>
            </w:pPr>
          </w:p>
        </w:tc>
      </w:tr>
      <w:tr>
        <w:trPr>
          <w:trHeight w:val="244"/>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Accrued professional fees..................................................................................................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1,705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993</w:t>
            </w:r>
          </w:p>
        </w:tc>
        <w:tc>
          <w:tcPr>
            <w:tcW w:w="0" w:type="dxa"/>
            <w:vAlign w:val="bottom"/>
          </w:tcPr>
          <w:p>
            <w:pPr>
              <w:spacing w:after="0"/>
              <w:rPr>
                <w:sz w:val="1"/>
                <w:szCs w:val="1"/>
                <w:color w:val="auto"/>
              </w:rPr>
            </w:pPr>
          </w:p>
        </w:tc>
      </w:tr>
      <w:tr>
        <w:trPr>
          <w:trHeight w:val="249"/>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Other accrued current liabilities ........................................................................................</w:t>
            </w:r>
          </w:p>
        </w:tc>
        <w:tc>
          <w:tcPr>
            <w:tcW w:w="8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1,595</w:t>
            </w:r>
          </w:p>
        </w:tc>
        <w:tc>
          <w:tcPr>
            <w:tcW w:w="16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1,754</w:t>
            </w:r>
          </w:p>
        </w:tc>
        <w:tc>
          <w:tcPr>
            <w:tcW w:w="0" w:type="dxa"/>
            <w:vAlign w:val="bottom"/>
          </w:tcPr>
          <w:p>
            <w:pPr>
              <w:spacing w:after="0"/>
              <w:rPr>
                <w:sz w:val="1"/>
                <w:szCs w:val="1"/>
                <w:color w:val="auto"/>
              </w:rPr>
            </w:pPr>
          </w:p>
        </w:tc>
      </w:tr>
      <w:tr>
        <w:trPr>
          <w:trHeight w:val="239"/>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..........................................................Totalaccruedexpensesandothercurrentliabilities</w:t>
            </w:r>
          </w:p>
        </w:tc>
        <w:tc>
          <w:tcPr>
            <w:tcW w:w="8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154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20"/>
                <w:szCs w:val="20"/>
                <w:color w:val="231F20"/>
              </w:rPr>
              <w:t>8,679</w:t>
            </w:r>
          </w:p>
        </w:tc>
        <w:tc>
          <w:tcPr>
            <w:tcW w:w="16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13,240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169</w:t>
      </w:r>
    </w:p>
    <w:p>
      <w:pPr>
        <w:sectPr>
          <w:pgSz w:w="11880" w:h="15480" w:orient="portrait"/>
          <w:cols w:equalWidth="0" w:num="1">
            <w:col w:w="10800"/>
          </w:cols>
          <w:pgMar w:left="540" w:top="750" w:right="540" w:bottom="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231F20"/>
        </w:rPr>
        <w:t>10. Commitments and contingencies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 commitments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Company’s lease portfolio primarily comprises operating leases for office, laboratory, and manufacturing space. These leases contain various rent abatement periods, after which they require monthly lease payments that may be subject to annual increases throughout the lease term. Certain leases include options to extend the term. The renewal option is considered in the remaining lease term for the lease only when the Company is reasonably certain it will renew the lease. Certain leases provide the Company with the right to make tenant improvements, including the addition of laboratory space or build-out of manufacturing capabilities, and include a lease incentive allowance.</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June 2022, the Company entered into a lease agreement for 79,565 square feet of office, laboratory, and manufacturing space located in Bothell, Washington. The initial term of the lease expires in February 2039, with the option to extend the lease for up to three additional five-year terms. The lease agreement also provides for up to $19.9 million for reimbursement of tenant improvements, as well as an additional $8.0 million loan for tenant improvements, available at the Company’s election (the Tenant Improvement Loan). The Company elected to receive the Tenant Improvement Loan in the second quarter of 2024 and is obligated to repay to the landlord monthly over the initial term of the lease with interest at a rate of 6.5% per year. As of December 31, 2025, $0.4 million was included in accrued expenses and other current liabilities and $7.0 million was included in other non-current liabilities. The Company is obligated to pay base rent of approximately $68.8 million over the initial term of the lease. In accordance with the lease agreement, the Company has obtained a letter of credit in the amount of $1.6 million.</w:t>
      </w:r>
    </w:p>
    <w:p>
      <w:pPr>
        <w:spacing w:after="0" w:line="20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the second quarter of 2025, the Company recognized non-cash impairment losses for the operating lease ROU asset, construction in progress, and laboratory equipment for the Bothell facility, and for the operating lease ROU asset, leasehold improvements, and laboratory equipment for the Seattle facility. The Company also recognized additional non-cash impairment losses for other long-lived assets. Refer to Note 11, Impairment of long-lived assets for further information.</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contains additional information related to the Company’s operating leases: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Approximate</w:t>
            </w: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7"/>
        </w:trPr>
        <w:tc>
          <w:tcPr>
            <w:tcW w:w="1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Location</w:t>
            </w:r>
          </w:p>
        </w:tc>
        <w:tc>
          <w:tcPr>
            <w:tcW w:w="160" w:type="dxa"/>
            <w:vAlign w:val="bottom"/>
          </w:tcPr>
          <w:p>
            <w:pPr>
              <w:spacing w:after="0"/>
              <w:rPr>
                <w:sz w:val="15"/>
                <w:szCs w:val="15"/>
                <w:color w:val="auto"/>
              </w:rPr>
            </w:pPr>
          </w:p>
        </w:tc>
        <w:tc>
          <w:tcPr>
            <w:tcW w:w="2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Use</w:t>
            </w:r>
          </w:p>
        </w:tc>
        <w:tc>
          <w:tcPr>
            <w:tcW w:w="140" w:type="dxa"/>
            <w:vAlign w:val="bottom"/>
          </w:tcPr>
          <w:p>
            <w:pPr>
              <w:spacing w:after="0"/>
              <w:rPr>
                <w:sz w:val="15"/>
                <w:szCs w:val="15"/>
                <w:color w:val="auto"/>
              </w:rPr>
            </w:pPr>
          </w:p>
        </w:tc>
        <w:tc>
          <w:tcPr>
            <w:tcW w:w="12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Square Footage</w:t>
            </w:r>
          </w:p>
        </w:tc>
        <w:tc>
          <w:tcPr>
            <w:tcW w:w="160" w:type="dxa"/>
            <w:vAlign w:val="bottom"/>
          </w:tcPr>
          <w:p>
            <w:pPr>
              <w:spacing w:after="0"/>
              <w:rPr>
                <w:sz w:val="15"/>
                <w:szCs w:val="15"/>
                <w:color w:val="auto"/>
              </w:rPr>
            </w:pPr>
          </w:p>
        </w:tc>
        <w:tc>
          <w:tcPr>
            <w:tcW w:w="24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Commencement Dates</w:t>
            </w:r>
          </w:p>
        </w:tc>
        <w:tc>
          <w:tcPr>
            <w:tcW w:w="140" w:type="dxa"/>
            <w:vAlign w:val="bottom"/>
          </w:tcPr>
          <w:p>
            <w:pPr>
              <w:spacing w:after="0"/>
              <w:rPr>
                <w:sz w:val="15"/>
                <w:szCs w:val="15"/>
                <w:color w:val="auto"/>
              </w:rPr>
            </w:pPr>
          </w:p>
        </w:tc>
        <w:tc>
          <w:tcPr>
            <w:tcW w:w="2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Expiration Dates</w:t>
            </w:r>
          </w:p>
        </w:tc>
      </w:tr>
      <w:tr>
        <w:trPr>
          <w:trHeight w:val="164"/>
        </w:trPr>
        <w:tc>
          <w:tcPr>
            <w:tcW w:w="184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231F20"/>
                <w:w w:val="99"/>
              </w:rPr>
              <w:t>Seattle, WA</w:t>
            </w:r>
          </w:p>
        </w:tc>
        <w:tc>
          <w:tcPr>
            <w:tcW w:w="160" w:type="dxa"/>
            <w:vAlign w:val="bottom"/>
          </w:tcPr>
          <w:p>
            <w:pPr>
              <w:spacing w:after="0"/>
              <w:rPr>
                <w:sz w:val="14"/>
                <w:szCs w:val="14"/>
                <w:color w:val="auto"/>
              </w:rPr>
            </w:pPr>
          </w:p>
        </w:tc>
        <w:tc>
          <w:tcPr>
            <w:tcW w:w="222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231F20"/>
              </w:rPr>
              <w:t>Office/Laboratory</w:t>
            </w:r>
          </w:p>
        </w:tc>
        <w:tc>
          <w:tcPr>
            <w:tcW w:w="1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231F20"/>
                <w:w w:val="99"/>
              </w:rPr>
              <w:t>48,000</w:t>
            </w:r>
          </w:p>
        </w:tc>
        <w:tc>
          <w:tcPr>
            <w:tcW w:w="160" w:type="dxa"/>
            <w:vAlign w:val="bottom"/>
          </w:tcPr>
          <w:p>
            <w:pPr>
              <w:spacing w:after="0"/>
              <w:rPr>
                <w:sz w:val="14"/>
                <w:szCs w:val="14"/>
                <w:color w:val="auto"/>
              </w:rPr>
            </w:pPr>
          </w:p>
        </w:tc>
        <w:tc>
          <w:tcPr>
            <w:tcW w:w="246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231F20"/>
                <w:w w:val="99"/>
              </w:rPr>
              <w:t>March 2019 to September 2020</w:t>
            </w:r>
          </w:p>
        </w:tc>
        <w:tc>
          <w:tcPr>
            <w:tcW w:w="140" w:type="dxa"/>
            <w:vAlign w:val="bottom"/>
          </w:tcPr>
          <w:p>
            <w:pPr>
              <w:spacing w:after="0"/>
              <w:rPr>
                <w:sz w:val="14"/>
                <w:szCs w:val="14"/>
                <w:color w:val="auto"/>
              </w:rPr>
            </w:pPr>
          </w:p>
        </w:tc>
        <w:tc>
          <w:tcPr>
            <w:tcW w:w="2400" w:type="dxa"/>
            <w:vAlign w:val="bottom"/>
          </w:tcPr>
          <w:p>
            <w:pPr>
              <w:jc w:val="center"/>
              <w:spacing w:after="0" w:line="164" w:lineRule="exact"/>
              <w:rPr>
                <w:sz w:val="20"/>
                <w:szCs w:val="20"/>
                <w:color w:val="auto"/>
              </w:rPr>
            </w:pPr>
            <w:r>
              <w:rPr>
                <w:rFonts w:ascii="Times New Roman" w:cs="Times New Roman" w:eastAsia="Times New Roman" w:hAnsi="Times New Roman"/>
                <w:sz w:val="16"/>
                <w:szCs w:val="16"/>
                <w:color w:val="231F20"/>
                <w:w w:val="99"/>
              </w:rPr>
              <w:t>December 2026 to April 2028</w:t>
            </w:r>
          </w:p>
        </w:tc>
      </w:tr>
      <w:tr>
        <w:trPr>
          <w:trHeight w:val="184"/>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Cambridge, MA</w:t>
            </w:r>
          </w:p>
        </w:tc>
        <w:tc>
          <w:tcPr>
            <w:tcW w:w="1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Office/Laboratory</w:t>
            </w:r>
          </w:p>
        </w:tc>
        <w:tc>
          <w:tcPr>
            <w:tcW w:w="14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56,000</w:t>
            </w:r>
          </w:p>
        </w:tc>
        <w:tc>
          <w:tcPr>
            <w:tcW w:w="1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March 2019 to January 2020</w:t>
            </w:r>
          </w:p>
        </w:tc>
        <w:tc>
          <w:tcPr>
            <w:tcW w:w="1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June 2027 to February 2028</w:t>
            </w:r>
          </w:p>
        </w:tc>
      </w:tr>
      <w:tr>
        <w:trPr>
          <w:trHeight w:val="184"/>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South San Francisco, CA</w:t>
            </w:r>
          </w:p>
        </w:tc>
        <w:tc>
          <w:tcPr>
            <w:tcW w:w="1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Office/Laboratory</w:t>
            </w:r>
          </w:p>
        </w:tc>
        <w:tc>
          <w:tcPr>
            <w:tcW w:w="14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99,000</w:t>
            </w:r>
          </w:p>
        </w:tc>
        <w:tc>
          <w:tcPr>
            <w:tcW w:w="1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9"/>
              </w:rPr>
              <w:t>December 2019 to April 2022</w:t>
            </w:r>
          </w:p>
        </w:tc>
        <w:tc>
          <w:tcPr>
            <w:tcW w:w="1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April 2030</w:t>
            </w:r>
          </w:p>
        </w:tc>
      </w:tr>
      <w:tr>
        <w:trPr>
          <w:trHeight w:val="184"/>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Rochester, NY</w:t>
            </w:r>
          </w:p>
        </w:tc>
        <w:tc>
          <w:tcPr>
            <w:tcW w:w="1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Office/Laboratory</w:t>
            </w:r>
          </w:p>
        </w:tc>
        <w:tc>
          <w:tcPr>
            <w:tcW w:w="14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231F20"/>
                <w:w w:val="99"/>
              </w:rPr>
              <w:t>3,000</w:t>
            </w:r>
          </w:p>
        </w:tc>
        <w:tc>
          <w:tcPr>
            <w:tcW w:w="16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January 2022</w:t>
            </w:r>
          </w:p>
        </w:tc>
        <w:tc>
          <w:tcPr>
            <w:tcW w:w="14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January 2027</w:t>
            </w:r>
          </w:p>
        </w:tc>
      </w:tr>
      <w:tr>
        <w:trPr>
          <w:trHeight w:val="21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Bothell, WA</w:t>
            </w:r>
          </w:p>
        </w:tc>
        <w:tc>
          <w:tcPr>
            <w:tcW w:w="1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Office/Laboratory/Manufacturing</w:t>
            </w:r>
          </w:p>
        </w:tc>
        <w:tc>
          <w:tcPr>
            <w:tcW w:w="14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231F20"/>
              </w:rPr>
              <w:t>80,000</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January 2023</w:t>
            </w: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231F20"/>
              </w:rPr>
              <w:t>January 2039</w:t>
            </w:r>
          </w:p>
        </w:tc>
      </w:tr>
    </w:tbl>
    <w:p>
      <w:pPr>
        <w:spacing w:after="0" w:line="207"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Throughout the term of each lease agreement, the Company is responsible for paying, in addition to base rent, certain operating costs, such as common area maintenance, taxes, utilities, and insurance. These additional charges are considered variable lease costs and are recognized in the period in which the costs are incurred.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the Company’s lease costs: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r>
      <w:tr>
        <w:trPr>
          <w:trHeight w:val="179"/>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231F20"/>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70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1500" w:type="dxa"/>
            <w:vAlign w:val="bottom"/>
            <w:tcBorders>
              <w:bottom w:val="single" w:sz="8" w:color="231F20"/>
            </w:tcBorders>
          </w:tcPr>
          <w:p>
            <w:pPr>
              <w:jc w:val="center"/>
              <w:ind w:right="207"/>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564"/>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5"/>
                <w:szCs w:val="15"/>
                <w:color w:val="auto"/>
              </w:rPr>
            </w:pPr>
          </w:p>
        </w:tc>
      </w:tr>
      <w:tr>
        <w:trPr>
          <w:trHeight w:val="160"/>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227"/>
              <w:spacing w:after="0" w:line="160"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9"/>
              </w:rPr>
              <w:t>Operating lease cost .....................................................................</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25,024</w:t>
            </w:r>
          </w:p>
        </w:tc>
        <w:tc>
          <w:tcPr>
            <w:tcW w:w="40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18,540</w:t>
            </w:r>
          </w:p>
        </w:tc>
        <w:tc>
          <w:tcPr>
            <w:tcW w:w="560" w:type="dxa"/>
            <w:vAlign w:val="bottom"/>
            <w:gridSpan w:val="3"/>
          </w:tcPr>
          <w:p>
            <w:pPr>
              <w:jc w:val="right"/>
              <w:ind w:right="195"/>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27,277</w:t>
            </w:r>
          </w:p>
        </w:tc>
      </w:tr>
      <w:tr>
        <w:trPr>
          <w:trHeight w:val="230"/>
        </w:trPr>
        <w:tc>
          <w:tcPr>
            <w:tcW w:w="53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8"/>
              </w:rPr>
              <w:t>Short-term lease cost ....................................................................</w:t>
            </w: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4,669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9"/>
        </w:trPr>
        <w:tc>
          <w:tcPr>
            <w:tcW w:w="53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9"/>
              </w:rPr>
              <w:t>Variable lease cost........................................................................</w:t>
            </w:r>
          </w:p>
        </w:tc>
        <w:tc>
          <w:tcPr>
            <w:tcW w:w="9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8,442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8,505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7,527</w:t>
            </w:r>
          </w:p>
        </w:tc>
      </w:tr>
      <w:tr>
        <w:trPr>
          <w:trHeight w:val="225"/>
        </w:trPr>
        <w:tc>
          <w:tcPr>
            <w:tcW w:w="5320" w:type="dxa"/>
            <w:vAlign w:val="bottom"/>
            <w:gridSpan w:val="2"/>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rPr>
              <w:t>.............................................................................Totalleasecost</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37,042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500" w:type="dxa"/>
            <w:vAlign w:val="bottom"/>
          </w:tcPr>
          <w:p>
            <w:pPr>
              <w:jc w:val="right"/>
              <w:ind w:right="7"/>
              <w:spacing w:after="0" w:line="225" w:lineRule="exact"/>
              <w:rPr>
                <w:sz w:val="20"/>
                <w:szCs w:val="20"/>
                <w:color w:val="auto"/>
              </w:rPr>
            </w:pPr>
            <w:r>
              <w:rPr>
                <w:rFonts w:ascii="Times New Roman" w:cs="Times New Roman" w:eastAsia="Times New Roman" w:hAnsi="Times New Roman"/>
                <w:sz w:val="20"/>
                <w:szCs w:val="20"/>
                <w:color w:val="231F20"/>
              </w:rPr>
              <w:t>31,714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231F20"/>
                <w:w w:val="70"/>
              </w:rPr>
              <w:t>$</w:t>
            </w:r>
          </w:p>
        </w:tc>
        <w:tc>
          <w:tcPr>
            <w:tcW w:w="134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rPr>
              <w:t>34,804</w:t>
            </w: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5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-889000</wp:posOffset>
            </wp:positionV>
            <wp:extent cx="34683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a:extLst>
                        <a:ext uri="{28A0092B-C50C-407E-A947-70E740481C1C}"/>
                      </a:extLst>
                    </a:blip>
                    <a:srcRect/>
                    <a:stretch>
                      <a:fillRect/>
                    </a:stretch>
                  </pic:blipFill>
                  <pic:spPr bwMode="auto">
                    <a:xfrm>
                      <a:off x="0" y="0"/>
                      <a:ext cx="3468370" cy="38100"/>
                    </a:xfrm>
                    <a:prstGeom prst="rect">
                      <a:avLst/>
                    </a:prstGeom>
                    <a:noFill/>
                  </pic:spPr>
                </pic:pic>
              </a:graphicData>
            </a:graphic>
          </wp:anchor>
        </w:drawing>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As of December 31, 2025, the weighted-average remaining lease term was 7.2 years and the weighted-average IBR was 10.9%.</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170</w:t>
      </w:r>
    </w:p>
    <w:p>
      <w:pPr>
        <w:sectPr>
          <w:pgSz w:w="11880" w:h="15480" w:orient="portrait"/>
          <w:cols w:equalWidth="0" w:num="1">
            <w:col w:w="10800"/>
          </w:cols>
          <w:pgMar w:left="540" w:top="746" w:right="540" w:bottom="0" w:gutter="0" w:footer="0" w:header="0"/>
          <w:type w:val="continuous"/>
        </w:sectPr>
      </w:pPr>
    </w:p>
    <w:bookmarkStart w:id="176" w:name="page177"/>
    <w:bookmarkEnd w:id="176"/>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reconciles the Company’s undiscounted operating lease cash flows by fiscal year to the present value of the operating lease liabilities as of December 31, 2025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2026......................................................................................................................................................................</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22,473</w:t>
            </w:r>
          </w:p>
        </w:tc>
        <w:tc>
          <w:tcPr>
            <w:tcW w:w="0" w:type="dxa"/>
            <w:vAlign w:val="bottom"/>
          </w:tcPr>
          <w:p>
            <w:pPr>
              <w:spacing w:after="0"/>
              <w:rPr>
                <w:sz w:val="1"/>
                <w:szCs w:val="1"/>
                <w:color w:val="auto"/>
              </w:rPr>
            </w:pPr>
          </w:p>
        </w:tc>
      </w:tr>
      <w:tr>
        <w:trPr>
          <w:trHeight w:val="230"/>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19,390</w:t>
            </w:r>
          </w:p>
        </w:tc>
        <w:tc>
          <w:tcPr>
            <w:tcW w:w="0" w:type="dxa"/>
            <w:vAlign w:val="bottom"/>
          </w:tcPr>
          <w:p>
            <w:pPr>
              <w:spacing w:after="0"/>
              <w:rPr>
                <w:sz w:val="1"/>
                <w:szCs w:val="1"/>
                <w:color w:val="auto"/>
              </w:rPr>
            </w:pPr>
          </w:p>
        </w:tc>
      </w:tr>
      <w:tr>
        <w:trPr>
          <w:trHeight w:val="230"/>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14,698</w:t>
            </w:r>
          </w:p>
        </w:tc>
        <w:tc>
          <w:tcPr>
            <w:tcW w:w="0" w:type="dxa"/>
            <w:vAlign w:val="bottom"/>
          </w:tcPr>
          <w:p>
            <w:pPr>
              <w:spacing w:after="0"/>
              <w:rPr>
                <w:sz w:val="1"/>
                <w:szCs w:val="1"/>
                <w:color w:val="auto"/>
              </w:rPr>
            </w:pPr>
          </w:p>
        </w:tc>
      </w:tr>
      <w:tr>
        <w:trPr>
          <w:trHeight w:val="230"/>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14,071</w:t>
            </w:r>
          </w:p>
        </w:tc>
        <w:tc>
          <w:tcPr>
            <w:tcW w:w="0" w:type="dxa"/>
            <w:vAlign w:val="bottom"/>
          </w:tcPr>
          <w:p>
            <w:pPr>
              <w:spacing w:after="0"/>
              <w:rPr>
                <w:sz w:val="1"/>
                <w:szCs w:val="1"/>
                <w:color w:val="auto"/>
              </w:rPr>
            </w:pPr>
          </w:p>
        </w:tc>
      </w:tr>
      <w:tr>
        <w:trPr>
          <w:trHeight w:val="230"/>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7,758</w:t>
            </w:r>
          </w:p>
        </w:tc>
        <w:tc>
          <w:tcPr>
            <w:tcW w:w="0" w:type="dxa"/>
            <w:vAlign w:val="bottom"/>
          </w:tcPr>
          <w:p>
            <w:pPr>
              <w:spacing w:after="0"/>
              <w:rPr>
                <w:sz w:val="1"/>
                <w:szCs w:val="1"/>
                <w:color w:val="auto"/>
              </w:rPr>
            </w:pPr>
          </w:p>
        </w:tc>
      </w:tr>
      <w:tr>
        <w:trPr>
          <w:trHeight w:val="249"/>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2031 and thereafter...............................................................................................................................................</w:t>
            </w:r>
          </w:p>
        </w:tc>
        <w:tc>
          <w:tcPr>
            <w:tcW w:w="120" w:type="dxa"/>
            <w:vAlign w:val="bottom"/>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40,942</w:t>
            </w:r>
          </w:p>
        </w:tc>
        <w:tc>
          <w:tcPr>
            <w:tcW w:w="0" w:type="dxa"/>
            <w:vAlign w:val="bottom"/>
          </w:tcPr>
          <w:p>
            <w:pPr>
              <w:spacing w:after="0"/>
              <w:rPr>
                <w:sz w:val="1"/>
                <w:szCs w:val="1"/>
                <w:color w:val="auto"/>
              </w:rPr>
            </w:pPr>
          </w:p>
        </w:tc>
      </w:tr>
      <w:tr>
        <w:trPr>
          <w:trHeight w:val="206"/>
        </w:trPr>
        <w:tc>
          <w:tcPr>
            <w:tcW w:w="88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......................................................................................................................Totalundiscountedleasepayments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231F20"/>
              </w:rPr>
              <w:t>119,332</w:t>
            </w:r>
          </w:p>
        </w:tc>
        <w:tc>
          <w:tcPr>
            <w:tcW w:w="0" w:type="dxa"/>
            <w:vAlign w:val="bottom"/>
          </w:tcPr>
          <w:p>
            <w:pPr>
              <w:spacing w:after="0"/>
              <w:rPr>
                <w:sz w:val="1"/>
                <w:szCs w:val="1"/>
                <w:color w:val="auto"/>
              </w:rPr>
            </w:pPr>
          </w:p>
        </w:tc>
      </w:tr>
      <w:tr>
        <w:trPr>
          <w:trHeight w:val="249"/>
        </w:trPr>
        <w:tc>
          <w:tcPr>
            <w:tcW w:w="8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Less: imputed interest...........................................................................................................................................</w:t>
            </w:r>
          </w:p>
        </w:tc>
        <w:tc>
          <w:tcPr>
            <w:tcW w:w="120" w:type="dxa"/>
            <w:vAlign w:val="bottom"/>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(40,470)</w:t>
            </w:r>
          </w:p>
        </w:tc>
        <w:tc>
          <w:tcPr>
            <w:tcW w:w="0" w:type="dxa"/>
            <w:vAlign w:val="bottom"/>
          </w:tcPr>
          <w:p>
            <w:pPr>
              <w:spacing w:after="0"/>
              <w:rPr>
                <w:sz w:val="1"/>
                <w:szCs w:val="1"/>
                <w:color w:val="auto"/>
              </w:rPr>
            </w:pPr>
          </w:p>
        </w:tc>
      </w:tr>
      <w:tr>
        <w:trPr>
          <w:trHeight w:val="225"/>
        </w:trPr>
        <w:tc>
          <w:tcPr>
            <w:tcW w:w="8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...........................................................................................................Presentvalueofoperatingleaseliabilities</w:t>
            </w:r>
          </w:p>
        </w:tc>
        <w:tc>
          <w:tcPr>
            <w:tcW w:w="120" w:type="dxa"/>
            <w:vAlign w:val="bottom"/>
          </w:tcPr>
          <w:p>
            <w:pPr>
              <w:spacing w:after="0"/>
              <w:rPr>
                <w:sz w:val="19"/>
                <w:szCs w:val="19"/>
                <w:color w:val="auto"/>
              </w:rPr>
            </w:pPr>
          </w:p>
        </w:tc>
        <w:tc>
          <w:tcPr>
            <w:tcW w:w="62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78,862</w:t>
            </w:r>
          </w:p>
        </w:tc>
        <w:tc>
          <w:tcPr>
            <w:tcW w:w="0" w:type="dxa"/>
            <w:vAlign w:val="bottom"/>
          </w:tcPr>
          <w:p>
            <w:pPr>
              <w:spacing w:after="0"/>
              <w:rPr>
                <w:sz w:val="1"/>
                <w:szCs w:val="1"/>
                <w:color w:val="auto"/>
              </w:rPr>
            </w:pPr>
          </w:p>
        </w:tc>
      </w:tr>
      <w:tr>
        <w:trPr>
          <w:trHeight w:val="225"/>
        </w:trPr>
        <w:tc>
          <w:tcPr>
            <w:tcW w:w="8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...............................................................................................Less:currentportionofoperatingleaseliabilities</w:t>
            </w:r>
          </w:p>
        </w:tc>
        <w:tc>
          <w:tcPr>
            <w:tcW w:w="120" w:type="dxa"/>
            <w:vAlign w:val="bottom"/>
          </w:tcPr>
          <w:p>
            <w:pPr>
              <w:spacing w:after="0"/>
              <w:rPr>
                <w:sz w:val="19"/>
                <w:szCs w:val="19"/>
                <w:color w:val="auto"/>
              </w:rPr>
            </w:pPr>
          </w:p>
        </w:tc>
        <w:tc>
          <w:tcPr>
            <w:tcW w:w="620" w:type="dxa"/>
            <w:vAlign w:val="bottom"/>
            <w:tcBorders>
              <w:bottom w:val="single" w:sz="8" w:color="231F20"/>
            </w:tcBorders>
          </w:tcPr>
          <w:p>
            <w:pPr>
              <w:jc w:val="right"/>
              <w:ind w:right="4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(14,938)</w:t>
            </w:r>
          </w:p>
        </w:tc>
        <w:tc>
          <w:tcPr>
            <w:tcW w:w="0" w:type="dxa"/>
            <w:vAlign w:val="bottom"/>
          </w:tcPr>
          <w:p>
            <w:pPr>
              <w:spacing w:after="0"/>
              <w:rPr>
                <w:sz w:val="1"/>
                <w:szCs w:val="1"/>
                <w:color w:val="auto"/>
              </w:rPr>
            </w:pPr>
          </w:p>
        </w:tc>
      </w:tr>
      <w:tr>
        <w:trPr>
          <w:trHeight w:val="20"/>
        </w:trPr>
        <w:tc>
          <w:tcPr>
            <w:tcW w:w="8820" w:type="dxa"/>
            <w:vAlign w:val="bottom"/>
            <w:vMerge w:val="restart"/>
          </w:tcPr>
          <w:p>
            <w:pPr>
              <w:jc w:val="right"/>
              <w:ind w:right="4860"/>
              <w:spacing w:after="0"/>
              <w:rPr>
                <w:sz w:val="20"/>
                <w:szCs w:val="20"/>
                <w:color w:val="auto"/>
              </w:rPr>
            </w:pPr>
            <w:r>
              <w:rPr>
                <w:rFonts w:ascii="Times New Roman" w:cs="Times New Roman" w:eastAsia="Times New Roman" w:hAnsi="Times New Roman"/>
                <w:sz w:val="20"/>
                <w:szCs w:val="20"/>
                <w:color w:val="231F20"/>
                <w:w w:val="99"/>
              </w:rPr>
              <w:t>Operating lease liabilities, net of current portion</w:t>
            </w:r>
          </w:p>
        </w:tc>
        <w:tc>
          <w:tcPr>
            <w:tcW w:w="120" w:type="dxa"/>
            <w:vAlign w:val="bottom"/>
            <w:vMerge w:val="restart"/>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820" w:type="dxa"/>
            <w:vAlign w:val="bottom"/>
            <w:vMerge w:val="continue"/>
          </w:tcPr>
          <w:p>
            <w:pPr>
              <w:jc w:val="right"/>
              <w:spacing w:after="0" w:line="172"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vMerge w:val="continue"/>
          </w:tcPr>
          <w:p>
            <w:pPr>
              <w:spacing w:after="0"/>
              <w:rPr>
                <w:sz w:val="18"/>
                <w:szCs w:val="18"/>
                <w:color w:val="auto"/>
              </w:rPr>
            </w:pPr>
          </w:p>
        </w:tc>
        <w:tc>
          <w:tcPr>
            <w:tcW w:w="620" w:type="dxa"/>
            <w:vAlign w:val="bottom"/>
            <w:tcBorders>
              <w:bottom w:val="single" w:sz="8" w:color="231F20"/>
            </w:tcBorders>
          </w:tcPr>
          <w:p>
            <w:pPr>
              <w:jc w:val="right"/>
              <w:ind w:right="42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63,924</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Impairment of long-lived assets</w:t>
      </w:r>
    </w:p>
    <w:p>
      <w:pPr>
        <w:spacing w:after="0" w:line="12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As a result of changes in business plans and the Company's intention to pursue potential subleases for the Bothell facility and the Seattle facility, due in part to the Company’s decision to suspend further build-out of its internal manufacturing capabilities at the Bothell facility in the-near term due to increased availability of manufacturing capacity at third-party contract development and manufacturing organizations for cell and gene therapy products, as well as progress in understanding its near-term manufacturing needs, and other factors, the Company determined that during the second quarter of 2025 a triggering event occurred and performed an impairment analysis. For the Bothell facility, the Company determined that the combined operating lease ROU asset and construction in progress were not fully recoverable as the carrying value exceeded the estimated fair value and recorded a non-cash impairment loss of $ 34.2 million for this asset group. For the Seattle facility, the Company determined that the combined operating lease ROU asset and leasehold improvements were not fully recoverable as the carrying value exceeded the estimated fair value and recorded a non-cash impairment loss of $3.8 million for this asset group. In addition, in connection with the Bothell facility and the Seattle facility, the Company recognized non-cash impairment losses related to laboratory equipment of $3.8 million and $2.0 million, respectively. The Company also recognized an additional $0.8 million non-cash impairment loss for other long-lived assets. The losses were recorded in operating expenses in the statement of operations in the second quarter of 2025. During the fourth quarters of 2024 and 2023, the Company recognized $1.9 million and $7.0 million, respectively, for the impairment of certain laboratory equipment and leasehold improvements as a result of the portfolio prioritizations in the fourth quarters of 2024 and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Stockholders’ equity</w:t>
      </w:r>
    </w:p>
    <w:p>
      <w:pPr>
        <w:spacing w:after="0" w:line="12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In March 2026, the Company entered into the Sales Agreement with TD Cowen, acting as sales agent, pursuant to which it may offer and sell through TD Cowen shares of the Company’s common stock from time to time under the ATM facility. The Sales Agreement amends and restates the Prior Sales Agreement. During the quarter and year ended December 31, 2025, the Company sold an aggregate of 3.9 million shares and 11.3 million shares of its common stock, respectively, under the Prior Sales Agreement, for net proceeds of $17.0 million and $45.8 million, respectively, after deducting commissions and expenses.</w:t>
      </w:r>
    </w:p>
    <w:p>
      <w:pPr>
        <w:spacing w:after="0" w:line="18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its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twelve months ended December 31, 2025, no pre-funded warrants sold in this offering were exercised.</w:t>
      </w:r>
    </w:p>
    <w:p>
      <w:pPr>
        <w:spacing w:after="0" w:line="206"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In February 2024, the Company completed an underwritten public offering pursuant to which it sold 21.8 million shares of its common stock, including 4.5 million shares pursuant to the full exercise of the underwriters' option to purchase additional shares, and pre-funded warrants to purchase 12.7 million shares of its common stock, for net proceeds of approximately $180.0 million, after deducting underwriting discounts and commissions and offering expenses. The pre-funded warrants have an exercise price of $0.0001</w:t>
      </w:r>
    </w:p>
    <w:p>
      <w:pPr>
        <w:sectPr>
          <w:pgSz w:w="11880" w:h="15480" w:orient="portrait"/>
          <w:cols w:equalWidth="0" w:num="1">
            <w:col w:w="10800"/>
          </w:cols>
          <w:pgMar w:left="540" w:top="750" w:right="540"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171</w:t>
      </w:r>
    </w:p>
    <w:p>
      <w:pPr>
        <w:sectPr>
          <w:pgSz w:w="11880" w:h="15480" w:orient="portrait"/>
          <w:cols w:equalWidth="0" w:num="1">
            <w:col w:w="10800"/>
          </w:cols>
          <w:pgMar w:left="540" w:top="750" w:right="540" w:bottom="0" w:gutter="0" w:footer="0" w:header="0"/>
          <w:type w:val="continuous"/>
        </w:sectPr>
      </w:pPr>
    </w:p>
    <w:bookmarkStart w:id="177" w:name="page178"/>
    <w:bookmarkEnd w:id="177"/>
    <w:p>
      <w:pPr>
        <w:ind w:right="20"/>
        <w:spacing w:after="0" w:line="245" w:lineRule="auto"/>
        <w:rPr>
          <w:sz w:val="20"/>
          <w:szCs w:val="20"/>
          <w:color w:val="auto"/>
        </w:rPr>
      </w:pPr>
      <w:r>
        <w:rPr>
          <w:rFonts w:ascii="Times New Roman" w:cs="Times New Roman" w:eastAsia="Times New Roman" w:hAnsi="Times New Roman"/>
          <w:sz w:val="20"/>
          <w:szCs w:val="20"/>
          <w:color w:val="231F20"/>
        </w:rPr>
        <w:t>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however,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twelve months ended December 31, 2025, 4.4 million pre-funded warrants sold in this offering were exercised.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Stock-based compensation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Equity incentive plans</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In February 2021, the Company adopted the 2021 Incentive Award Plan (2021 Plan) and the 2021 Employee Stock Purchase Plan (2021 ESPP), both of which became effective on the completion of the Company’s initial public offering. The 2021 Plan provides for a variety of stock-based compensation awards, including stock options, restricted stock awards (RSAs), and restricted stock units (RSUs). The 2021 ESPP allows eligible employees to purchase shares of the Company’s common stock at a discount through payroll deductions of up to 15% of their earnings, subject to plan limitations. Unless otherwise determined by the Company’s board of directors, employees may purchase shares at 85% of the lower of the fair market value of the Company’s common stock on the first date of an offering period or on the purchase date. As of December 31, 2025, 34.7 million shares and 5.8 million shares were available for future issuance under the 2021 Plan and the 2021 ESPP, respectively.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Stock-based compensation expense is recognized in the consolidated statements of operations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79"/>
        </w:trPr>
        <w:tc>
          <w:tcPr>
            <w:tcW w:w="62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425"/>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280" w:type="dxa"/>
            <w:vAlign w:val="bottom"/>
            <w:tcBorders>
              <w:bottom w:val="single" w:sz="8" w:color="231F20"/>
            </w:tcBorders>
          </w:tcPr>
          <w:p>
            <w:pPr>
              <w:jc w:val="center"/>
              <w:ind w:right="148"/>
              <w:spacing w:after="0" w:line="179"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60" w:type="dxa"/>
            <w:vAlign w:val="bottom"/>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05"/>
              <w:spacing w:after="0" w:line="179" w:lineRule="exact"/>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231F20"/>
            </w:tcBorders>
          </w:tcPr>
          <w:p>
            <w:pPr>
              <w:spacing w:after="0"/>
              <w:rPr>
                <w:sz w:val="15"/>
                <w:szCs w:val="15"/>
                <w:color w:val="auto"/>
              </w:rPr>
            </w:pPr>
          </w:p>
        </w:tc>
      </w:tr>
      <w:tr>
        <w:trPr>
          <w:trHeight w:val="160"/>
        </w:trPr>
        <w:tc>
          <w:tcPr>
            <w:tcW w:w="6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6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9"/>
              </w:rPr>
              <w:t>Research and development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15,193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23,365</w:t>
            </w:r>
          </w:p>
        </w:tc>
        <w:tc>
          <w:tcPr>
            <w:tcW w:w="1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23,240</w:t>
            </w:r>
          </w:p>
        </w:tc>
      </w:tr>
      <w:tr>
        <w:trPr>
          <w:trHeight w:val="249"/>
        </w:trPr>
        <w:tc>
          <w:tcPr>
            <w:tcW w:w="6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9"/>
              </w:rPr>
              <w:t>General and administrative...............................................................................</w:t>
            </w: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10,271</w:t>
            </w:r>
          </w:p>
        </w:tc>
        <w:tc>
          <w:tcPr>
            <w:tcW w:w="80" w:type="dxa"/>
            <w:vAlign w:val="bottom"/>
            <w:tcBorders>
              <w:bottom w:val="single" w:sz="8" w:color="231F20"/>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14,313</w:t>
            </w:r>
          </w:p>
        </w:tc>
        <w:tc>
          <w:tcPr>
            <w:tcW w:w="1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12,293</w:t>
            </w:r>
          </w:p>
        </w:tc>
      </w:tr>
      <w:tr>
        <w:trPr>
          <w:trHeight w:val="225"/>
        </w:trPr>
        <w:tc>
          <w:tcPr>
            <w:tcW w:w="6260" w:type="dxa"/>
            <w:vAlign w:val="bottom"/>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rPr>
              <w:t>.........................................................Totalstock-basedcompensationexpense</w:t>
            </w:r>
          </w:p>
        </w:tc>
        <w:tc>
          <w:tcPr>
            <w:tcW w:w="300" w:type="dxa"/>
            <w:vAlign w:val="bottom"/>
            <w:tcBorders>
              <w:bottom w:val="single" w:sz="8" w:color="231F20"/>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25,464</w:t>
            </w:r>
          </w:p>
        </w:tc>
        <w:tc>
          <w:tcPr>
            <w:tcW w:w="8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bottom w:val="single" w:sz="8" w:color="231F20"/>
            </w:tcBorders>
          </w:tcPr>
          <w:p>
            <w:pPr>
              <w:jc w:val="right"/>
              <w:ind w:right="8"/>
              <w:spacing w:after="0" w:line="225" w:lineRule="exact"/>
              <w:rPr>
                <w:sz w:val="20"/>
                <w:szCs w:val="20"/>
                <w:color w:val="auto"/>
              </w:rPr>
            </w:pPr>
            <w:r>
              <w:rPr>
                <w:rFonts w:ascii="Times New Roman" w:cs="Times New Roman" w:eastAsia="Times New Roman" w:hAnsi="Times New Roman"/>
                <w:sz w:val="20"/>
                <w:szCs w:val="20"/>
                <w:color w:val="231F20"/>
              </w:rPr>
              <w:t>37,678</w:t>
            </w:r>
          </w:p>
        </w:tc>
        <w:tc>
          <w:tcPr>
            <w:tcW w:w="16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rPr>
              <w:t>35,533</w:t>
            </w: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-742315</wp:posOffset>
            </wp:positionV>
            <wp:extent cx="288099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4">
                      <a:extLst>
                        <a:ext uri="{28A0092B-C50C-407E-A947-70E740481C1C}"/>
                      </a:extLst>
                    </a:blip>
                    <a:srcRect/>
                    <a:stretch>
                      <a:fillRect/>
                    </a:stretch>
                  </pic:blipFill>
                  <pic:spPr bwMode="auto">
                    <a:xfrm>
                      <a:off x="0" y="0"/>
                      <a:ext cx="2880995" cy="38100"/>
                    </a:xfrm>
                    <a:prstGeom prst="rect">
                      <a:avLst/>
                    </a:prstGeom>
                    <a:noFill/>
                  </pic:spPr>
                </pic:pic>
              </a:graphicData>
            </a:graphic>
          </wp:anchor>
        </w:drawing>
      </w:r>
    </w:p>
    <w:p>
      <w:pPr>
        <w:spacing w:after="0" w:line="237" w:lineRule="exact"/>
        <w:rPr>
          <w:sz w:val="20"/>
          <w:szCs w:val="20"/>
          <w:color w:val="auto"/>
        </w:rPr>
      </w:pPr>
    </w:p>
    <w:p>
      <w:pPr>
        <w:jc w:val="both"/>
        <w:ind w:right="40" w:firstLine="490"/>
        <w:spacing w:after="0" w:line="277" w:lineRule="auto"/>
        <w:rPr>
          <w:sz w:val="20"/>
          <w:szCs w:val="20"/>
          <w:color w:val="auto"/>
        </w:rPr>
      </w:pPr>
      <w:r>
        <w:rPr>
          <w:rFonts w:ascii="Times New Roman" w:cs="Times New Roman" w:eastAsia="Times New Roman" w:hAnsi="Times New Roman"/>
          <w:sz w:val="20"/>
          <w:szCs w:val="20"/>
          <w:color w:val="231F20"/>
        </w:rPr>
        <w:t>Unrecognized stock-based compensation costs related to unvested awards and the weighted-average period over which the costs are expected to be recognized as of December 31, 2025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Unrecognized stock-based compensation expense (in thousands)</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231F20"/>
              </w:rPr>
              <w:t>Stock Options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right"/>
              <w:ind w:right="549"/>
              <w:spacing w:after="0"/>
              <w:rPr>
                <w:sz w:val="20"/>
                <w:szCs w:val="20"/>
                <w:color w:val="auto"/>
              </w:rPr>
            </w:pPr>
            <w:r>
              <w:rPr>
                <w:rFonts w:ascii="Times New Roman" w:cs="Times New Roman" w:eastAsia="Times New Roman" w:hAnsi="Times New Roman"/>
                <w:sz w:val="16"/>
                <w:szCs w:val="16"/>
                <w:b w:val="1"/>
                <w:bCs w:val="1"/>
                <w:color w:val="231F20"/>
              </w:rPr>
              <w:t>RSUs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40" w:type="dxa"/>
            <w:vAlign w:val="bottom"/>
            <w:gridSpan w:val="4"/>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231F20"/>
              </w:rPr>
              <w:t>......................................</w:t>
            </w:r>
          </w:p>
        </w:tc>
        <w:tc>
          <w:tcPr>
            <w:tcW w:w="1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22,421</w:t>
            </w:r>
          </w:p>
        </w:tc>
        <w:tc>
          <w:tcPr>
            <w:tcW w:w="1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14,206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5640" w:type="dxa"/>
            <w:vAlign w:val="bottom"/>
            <w:gridSpan w:val="4"/>
          </w:tcPr>
          <w:p>
            <w:pPr>
              <w:spacing w:after="0"/>
              <w:rPr>
                <w:sz w:val="20"/>
                <w:szCs w:val="20"/>
                <w:color w:val="auto"/>
              </w:rPr>
            </w:pPr>
            <w:r>
              <w:rPr>
                <w:rFonts w:ascii="Times New Roman" w:cs="Times New Roman" w:eastAsia="Times New Roman" w:hAnsi="Times New Roman"/>
                <w:sz w:val="20"/>
                <w:szCs w:val="20"/>
                <w:color w:val="231F20"/>
                <w:w w:val="79"/>
              </w:rPr>
              <w:t>Weighted-average period costs expected to be recognized (in years).................................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2.3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420" w:type="dxa"/>
            <w:vAlign w:val="bottom"/>
            <w:gridSpan w:val="8"/>
          </w:tcPr>
          <w:p>
            <w:pPr>
              <w:ind w:left="480"/>
              <w:spacing w:after="0"/>
              <w:rPr>
                <w:sz w:val="20"/>
                <w:szCs w:val="20"/>
                <w:color w:val="auto"/>
              </w:rPr>
            </w:pPr>
            <w:r>
              <w:rPr>
                <w:rFonts w:ascii="Times New Roman" w:cs="Times New Roman" w:eastAsia="Times New Roman" w:hAnsi="Times New Roman"/>
                <w:sz w:val="20"/>
                <w:szCs w:val="20"/>
                <w:color w:val="231F20"/>
              </w:rPr>
              <w:t>A summary of the Company’s stock option activity is as follows: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Aggregate Intrinsic</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231F20"/>
              </w:rPr>
              <w:t>Stock Options</w:t>
            </w:r>
          </w:p>
        </w:tc>
        <w:tc>
          <w:tcPr>
            <w:tcW w:w="120" w:type="dxa"/>
            <w:vAlign w:val="bottom"/>
          </w:tcPr>
          <w:p>
            <w:pPr>
              <w:spacing w:after="0"/>
              <w:rPr>
                <w:sz w:val="16"/>
                <w:szCs w:val="16"/>
                <w:color w:val="auto"/>
              </w:rPr>
            </w:pPr>
          </w:p>
        </w:tc>
        <w:tc>
          <w:tcPr>
            <w:tcW w:w="17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w w:val="99"/>
              </w:rPr>
              <w:t>Exercise Price per</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Contractual Life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0" w:type="dxa"/>
            <w:vAlign w:val="bottom"/>
          </w:tcPr>
          <w:p>
            <w:pPr>
              <w:spacing w:after="0"/>
              <w:rPr>
                <w:sz w:val="1"/>
                <w:szCs w:val="1"/>
                <w:color w:val="auto"/>
              </w:rPr>
            </w:pPr>
          </w:p>
        </w:tc>
      </w:tr>
      <w:tr>
        <w:trPr>
          <w:trHeight w:val="203"/>
        </w:trPr>
        <w:tc>
          <w:tcPr>
            <w:tcW w:w="3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Outstanding as of December 31, 2024</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Pr>
          <w:p>
            <w:pPr>
              <w:spacing w:after="0"/>
              <w:rPr>
                <w:sz w:val="17"/>
                <w:szCs w:val="17"/>
                <w:color w:val="auto"/>
              </w:rPr>
            </w:pPr>
          </w:p>
        </w:tc>
        <w:tc>
          <w:tcPr>
            <w:tcW w:w="17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w w:val="99"/>
              </w:rPr>
              <w:t>Share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06"/>
        </w:trPr>
        <w:tc>
          <w:tcPr>
            <w:tcW w:w="3900" w:type="dxa"/>
            <w:vAlign w:val="bottom"/>
            <w:vMerge w:val="continue"/>
          </w:tcPr>
          <w:p>
            <w:pPr>
              <w:jc w:val="right"/>
              <w:ind w:right="20"/>
              <w:spacing w:after="0" w:line="182" w:lineRule="exact"/>
              <w:rPr>
                <w:sz w:val="20"/>
                <w:szCs w:val="20"/>
                <w:color w:val="auto"/>
              </w:rPr>
            </w:pPr>
            <w:r>
              <w:rPr>
                <w:rFonts w:ascii="Times New Roman" w:cs="Times New Roman" w:eastAsia="Times New Roman" w:hAnsi="Times New Roman"/>
                <w:sz w:val="20"/>
                <w:szCs w:val="20"/>
                <w:color w:val="231F20"/>
              </w:rPr>
              <w:t>...............</w:t>
            </w:r>
          </w:p>
        </w:tc>
        <w:tc>
          <w:tcPr>
            <w:tcW w:w="1500" w:type="dxa"/>
            <w:vAlign w:val="bottom"/>
            <w:tcBorders>
              <w:top w:val="single" w:sz="8" w:color="231F20"/>
            </w:tcBorders>
          </w:tcPr>
          <w:p>
            <w:pPr>
              <w:jc w:val="right"/>
              <w:ind w:right="5"/>
              <w:spacing w:after="0" w:line="206" w:lineRule="exact"/>
              <w:rPr>
                <w:sz w:val="20"/>
                <w:szCs w:val="20"/>
                <w:color w:val="auto"/>
              </w:rPr>
            </w:pPr>
            <w:r>
              <w:rPr>
                <w:rFonts w:ascii="Times New Roman" w:cs="Times New Roman" w:eastAsia="Times New Roman" w:hAnsi="Times New Roman"/>
                <w:sz w:val="20"/>
                <w:szCs w:val="20"/>
                <w:color w:val="231F20"/>
              </w:rPr>
              <w:t>25,062</w:t>
            </w:r>
          </w:p>
        </w:tc>
        <w:tc>
          <w:tcPr>
            <w:tcW w:w="120" w:type="dxa"/>
            <w:vAlign w:val="bottom"/>
          </w:tcPr>
          <w:p>
            <w:pPr>
              <w:spacing w:after="0"/>
              <w:rPr>
                <w:sz w:val="17"/>
                <w:szCs w:val="17"/>
                <w:color w:val="auto"/>
              </w:rPr>
            </w:pPr>
          </w:p>
        </w:tc>
        <w:tc>
          <w:tcPr>
            <w:tcW w:w="12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Borders>
              <w:top w:val="single" w:sz="8" w:color="231F20"/>
            </w:tcBorders>
          </w:tcPr>
          <w:p>
            <w:pPr>
              <w:jc w:val="right"/>
              <w:ind w:right="6"/>
              <w:spacing w:after="0" w:line="206" w:lineRule="exact"/>
              <w:rPr>
                <w:sz w:val="20"/>
                <w:szCs w:val="20"/>
                <w:color w:val="auto"/>
              </w:rPr>
            </w:pPr>
            <w:r>
              <w:rPr>
                <w:rFonts w:ascii="Times New Roman" w:cs="Times New Roman" w:eastAsia="Times New Roman" w:hAnsi="Times New Roman"/>
                <w:sz w:val="20"/>
                <w:szCs w:val="20"/>
                <w:color w:val="231F20"/>
              </w:rPr>
              <w:t>7.16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1600" w:type="dxa"/>
            <w:vAlign w:val="bottom"/>
            <w:tcBorders>
              <w:top w:val="single" w:sz="8" w:color="231F20"/>
            </w:tcBorders>
            <w:gridSpan w:val="2"/>
          </w:tcPr>
          <w:p>
            <w:pPr>
              <w:jc w:val="right"/>
              <w:ind w:right="120"/>
              <w:spacing w:after="0" w:line="206" w:lineRule="exact"/>
              <w:rPr>
                <w:sz w:val="20"/>
                <w:szCs w:val="20"/>
                <w:color w:val="auto"/>
              </w:rPr>
            </w:pPr>
            <w:r>
              <w:rPr>
                <w:rFonts w:ascii="Times New Roman" w:cs="Times New Roman" w:eastAsia="Times New Roman" w:hAnsi="Times New Roman"/>
                <w:sz w:val="20"/>
                <w:szCs w:val="20"/>
                <w:color w:val="231F20"/>
              </w:rPr>
              <w:t>7.4</w:t>
            </w:r>
          </w:p>
        </w:tc>
        <w:tc>
          <w:tcPr>
            <w:tcW w:w="100" w:type="dxa"/>
            <w:vAlign w:val="bottom"/>
            <w:gridSpan w:val="2"/>
          </w:tcPr>
          <w:p>
            <w:pPr>
              <w:spacing w:after="0"/>
              <w:rPr>
                <w:sz w:val="17"/>
                <w:szCs w:val="17"/>
                <w:color w:val="auto"/>
              </w:rPr>
            </w:pPr>
          </w:p>
        </w:tc>
        <w:tc>
          <w:tcPr>
            <w:tcW w:w="120" w:type="dxa"/>
            <w:vAlign w:val="bottom"/>
            <w:tcBorders>
              <w:top w:val="single" w:sz="8" w:color="231F20"/>
            </w:tcBorders>
          </w:tcPr>
          <w:p>
            <w:pPr>
              <w:jc w:val="right"/>
              <w:spacing w:after="0" w:line="206" w:lineRule="exact"/>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Borders>
              <w:top w:val="single" w:sz="8" w:color="231F20"/>
            </w:tcBorders>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231F20"/>
              </w:rPr>
              <w:t>271</w:t>
            </w:r>
          </w:p>
        </w:tc>
        <w:tc>
          <w:tcPr>
            <w:tcW w:w="0" w:type="dxa"/>
            <w:vAlign w:val="bottom"/>
          </w:tcPr>
          <w:p>
            <w:pPr>
              <w:spacing w:after="0"/>
              <w:rPr>
                <w:sz w:val="1"/>
                <w:szCs w:val="1"/>
                <w:color w:val="auto"/>
              </w:rPr>
            </w:pPr>
          </w:p>
        </w:tc>
      </w:tr>
      <w:tr>
        <w:trPr>
          <w:trHeight w:val="230"/>
        </w:trPr>
        <w:tc>
          <w:tcPr>
            <w:tcW w:w="3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Granted ..........................................................</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6,008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Exercised .......................................................</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Forfeited/Cancelled .......................................</w:t>
            </w: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7.61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rPr>
              <w:t>...............OutstandingasofDecember31,2025</w:t>
            </w:r>
          </w:p>
        </w:tc>
        <w:tc>
          <w:tcPr>
            <w:tcW w:w="1500" w:type="dxa"/>
            <w:vAlign w:val="bottom"/>
            <w:tcBorders>
              <w:bottom w:val="single" w:sz="8" w:color="231F20"/>
            </w:tcBorders>
          </w:tcPr>
          <w:p>
            <w:pPr>
              <w:jc w:val="right"/>
              <w:ind w:right="5"/>
              <w:spacing w:after="0" w:line="225" w:lineRule="exact"/>
              <w:rPr>
                <w:sz w:val="20"/>
                <w:szCs w:val="20"/>
                <w:color w:val="auto"/>
              </w:rPr>
            </w:pPr>
            <w:r>
              <w:rPr>
                <w:rFonts w:ascii="Times New Roman" w:cs="Times New Roman" w:eastAsia="Times New Roman" w:hAnsi="Times New Roman"/>
                <w:sz w:val="20"/>
                <w:szCs w:val="20"/>
                <w:color w:val="231F20"/>
              </w:rPr>
              <w:t>22,942</w:t>
            </w:r>
          </w:p>
        </w:tc>
        <w:tc>
          <w:tcPr>
            <w:tcW w:w="12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Pr>
          <w:p>
            <w:pPr>
              <w:jc w:val="right"/>
              <w:ind w:right="6"/>
              <w:spacing w:after="0" w:line="225" w:lineRule="exact"/>
              <w:rPr>
                <w:sz w:val="20"/>
                <w:szCs w:val="20"/>
                <w:color w:val="auto"/>
              </w:rPr>
            </w:pPr>
            <w:r>
              <w:rPr>
                <w:rFonts w:ascii="Times New Roman" w:cs="Times New Roman" w:eastAsia="Times New Roman" w:hAnsi="Times New Roman"/>
                <w:sz w:val="20"/>
                <w:szCs w:val="20"/>
                <w:color w:val="231F20"/>
              </w:rPr>
              <w:t>6.10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rPr>
              <w:t>7.1</w:t>
            </w:r>
          </w:p>
        </w:tc>
        <w:tc>
          <w:tcPr>
            <w:tcW w:w="2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56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rPr>
              <w:t>11,384</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Exercisable as of December 31, 2025</w:t>
            </w:r>
          </w:p>
        </w:tc>
        <w:tc>
          <w:tcPr>
            <w:tcW w:w="15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231F20"/>
              </w:rPr>
              <w:t>7.07</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6.1</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3,861</w:t>
            </w:r>
          </w:p>
        </w:tc>
        <w:tc>
          <w:tcPr>
            <w:tcW w:w="0" w:type="dxa"/>
            <w:vAlign w:val="bottom"/>
          </w:tcPr>
          <w:p>
            <w:pPr>
              <w:spacing w:after="0" w:line="20" w:lineRule="exact"/>
              <w:rPr>
                <w:sz w:val="1"/>
                <w:szCs w:val="1"/>
                <w:color w:val="auto"/>
              </w:rPr>
            </w:pPr>
          </w:p>
        </w:tc>
      </w:tr>
      <w:tr>
        <w:trPr>
          <w:trHeight w:val="215"/>
        </w:trPr>
        <w:tc>
          <w:tcPr>
            <w:tcW w:w="3900" w:type="dxa"/>
            <w:vAlign w:val="bottom"/>
            <w:vMerge w:val="continue"/>
          </w:tcPr>
          <w:p>
            <w:pPr>
              <w:jc w:val="right"/>
              <w:ind w:right="20"/>
              <w:spacing w:after="0" w:line="172" w:lineRule="exact"/>
              <w:rPr>
                <w:sz w:val="20"/>
                <w:szCs w:val="20"/>
                <w:color w:val="auto"/>
              </w:rPr>
            </w:pPr>
            <w:r>
              <w:rPr>
                <w:rFonts w:ascii="Times New Roman" w:cs="Times New Roman" w:eastAsia="Times New Roman" w:hAnsi="Times New Roman"/>
                <w:sz w:val="19"/>
                <w:szCs w:val="19"/>
                <w:color w:val="231F20"/>
              </w:rPr>
              <w:t>...............</w:t>
            </w:r>
          </w:p>
        </w:tc>
        <w:tc>
          <w:tcPr>
            <w:tcW w:w="1500" w:type="dxa"/>
            <w:vAlign w:val="bottom"/>
            <w:tcBorders>
              <w:bottom w:val="single" w:sz="8" w:color="231F20"/>
            </w:tcBorders>
          </w:tcPr>
          <w:p>
            <w:pPr>
              <w:jc w:val="right"/>
              <w:ind w:right="5"/>
              <w:spacing w:after="0" w:line="215" w:lineRule="exact"/>
              <w:rPr>
                <w:sz w:val="20"/>
                <w:szCs w:val="20"/>
                <w:color w:val="auto"/>
              </w:rPr>
            </w:pPr>
            <w:r>
              <w:rPr>
                <w:rFonts w:ascii="Times New Roman" w:cs="Times New Roman" w:eastAsia="Times New Roman" w:hAnsi="Times New Roman"/>
                <w:sz w:val="20"/>
                <w:szCs w:val="20"/>
                <w:color w:val="231F20"/>
              </w:rPr>
              <w:t>14,190</w:t>
            </w: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172</w:t>
      </w:r>
    </w:p>
    <w:p>
      <w:pPr>
        <w:sectPr>
          <w:pgSz w:w="11880" w:h="15480" w:orient="portrait"/>
          <w:cols w:equalWidth="0" w:num="1">
            <w:col w:w="10800"/>
          </w:cols>
          <w:pgMar w:left="540" w:top="750" w:right="540" w:bottom="0" w:gutter="0" w:footer="0" w:header="0"/>
          <w:type w:val="continuous"/>
        </w:sectPr>
      </w:pPr>
    </w:p>
    <w:bookmarkStart w:id="178" w:name="page179"/>
    <w:bookmarkEnd w:id="178"/>
    <w:p>
      <w:pPr>
        <w:ind w:left="500"/>
        <w:spacing w:after="0"/>
        <w:rPr>
          <w:sz w:val="20"/>
          <w:szCs w:val="20"/>
          <w:color w:val="auto"/>
        </w:rPr>
      </w:pPr>
      <w:r>
        <w:rPr>
          <w:rFonts w:ascii="Times New Roman" w:cs="Times New Roman" w:eastAsia="Times New Roman" w:hAnsi="Times New Roman"/>
          <w:sz w:val="20"/>
          <w:szCs w:val="20"/>
          <w:color w:val="231F20"/>
        </w:rPr>
        <w:t>The fair value of stock options granted to employees, directors, and consultants was estimated on the date of grant using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Black-Scholes option pricing model using the following assumptions: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7"/>
              </w:rPr>
              <w:t>Assumptions</w:t>
            </w:r>
          </w:p>
        </w:tc>
        <w:tc>
          <w:tcPr>
            <w:tcW w:w="5280" w:type="dxa"/>
            <w:vAlign w:val="bottom"/>
            <w:vMerge w:val="restart"/>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880" w:type="dxa"/>
            <w:vAlign w:val="bottom"/>
            <w:tcBorders>
              <w:bottom w:val="single" w:sz="8" w:color="231F20"/>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5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231F20"/>
            </w:tcBorders>
            <w:vMerge w:val="continue"/>
          </w:tcPr>
          <w:p>
            <w:pPr>
              <w:spacing w:after="0"/>
              <w:rPr>
                <w:sz w:val="19"/>
                <w:szCs w:val="19"/>
                <w:color w:val="auto"/>
              </w:rPr>
            </w:pPr>
          </w:p>
        </w:tc>
        <w:tc>
          <w:tcPr>
            <w:tcW w:w="5280" w:type="dxa"/>
            <w:vAlign w:val="bottom"/>
            <w:vMerge w:val="continue"/>
          </w:tcPr>
          <w:p>
            <w:pPr>
              <w:spacing w:after="0"/>
              <w:rPr>
                <w:sz w:val="19"/>
                <w:szCs w:val="19"/>
                <w:color w:val="auto"/>
              </w:rPr>
            </w:pPr>
          </w:p>
        </w:tc>
        <w:tc>
          <w:tcPr>
            <w:tcW w:w="1380" w:type="dxa"/>
            <w:vAlign w:val="bottom"/>
            <w:tcBorders>
              <w:bottom w:val="single" w:sz="8" w:color="231F20"/>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bottom w:val="single" w:sz="8" w:color="231F20"/>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1380" w:type="dxa"/>
            <w:vAlign w:val="bottom"/>
            <w:tcBorders>
              <w:bottom w:val="single" w:sz="8" w:color="231F20"/>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231F20"/>
              </w:rPr>
              <w:t>Risk free interest rate</w:t>
            </w: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231F20"/>
              </w:rPr>
              <w:t>3.7%</w:t>
            </w:r>
          </w:p>
        </w:tc>
        <w:tc>
          <w:tcPr>
            <w:tcW w:w="74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231F20"/>
              </w:rPr>
              <w:t>– 4.4%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231F20"/>
              </w:rPr>
              <w:t>3.7%</w:t>
            </w:r>
          </w:p>
        </w:tc>
        <w:tc>
          <w:tcPr>
            <w:tcW w:w="80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color w:val="231F20"/>
              </w:rPr>
              <w:t>– 4.7%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231F20"/>
              </w:rPr>
              <w:t>3.36%</w:t>
            </w:r>
          </w:p>
        </w:tc>
        <w:tc>
          <w:tcPr>
            <w:tcW w:w="8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231F20"/>
              </w:rPr>
              <w:t>– 4.98%</w:t>
            </w:r>
          </w:p>
        </w:tc>
        <w:tc>
          <w:tcPr>
            <w:tcW w:w="0" w:type="dxa"/>
            <w:vAlign w:val="bottom"/>
          </w:tcPr>
          <w:p>
            <w:pPr>
              <w:spacing w:after="0"/>
              <w:rPr>
                <w:sz w:val="1"/>
                <w:szCs w:val="1"/>
                <w:color w:val="auto"/>
              </w:rPr>
            </w:pPr>
          </w:p>
        </w:tc>
      </w:tr>
      <w:tr>
        <w:trPr>
          <w:trHeight w:val="244"/>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w:t>
            </w: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77.5%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72.5%</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 75.0%</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72.5%</w:t>
            </w:r>
          </w:p>
        </w:tc>
        <w:tc>
          <w:tcPr>
            <w:tcW w:w="0" w:type="dxa"/>
            <w:vAlign w:val="bottom"/>
          </w:tcPr>
          <w:p>
            <w:pPr>
              <w:spacing w:after="0"/>
              <w:rPr>
                <w:sz w:val="1"/>
                <w:szCs w:val="1"/>
                <w:color w:val="auto"/>
              </w:rPr>
            </w:pPr>
          </w:p>
        </w:tc>
      </w:tr>
      <w:tr>
        <w:trPr>
          <w:trHeight w:val="244"/>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term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w:t>
            </w:r>
          </w:p>
        </w:tc>
        <w:tc>
          <w:tcPr>
            <w:tcW w:w="7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6.50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 6.25</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6.50</w:t>
            </w:r>
          </w:p>
        </w:tc>
        <w:tc>
          <w:tcPr>
            <w:tcW w:w="0" w:type="dxa"/>
            <w:vAlign w:val="bottom"/>
          </w:tcPr>
          <w:p>
            <w:pPr>
              <w:spacing w:after="0"/>
              <w:rPr>
                <w:sz w:val="1"/>
                <w:szCs w:val="1"/>
                <w:color w:val="auto"/>
              </w:rPr>
            </w:pPr>
          </w:p>
        </w:tc>
      </w:tr>
      <w:tr>
        <w:trPr>
          <w:trHeight w:val="266"/>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dividend</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0%</w:t>
            </w:r>
          </w:p>
        </w:tc>
        <w:tc>
          <w:tcPr>
            <w:tcW w:w="166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color w:val="231F20"/>
              </w:rPr>
              <w:t>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additional information related to stock option activity: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80" w:type="dxa"/>
            <w:vAlign w:val="bottom"/>
            <w:vMerge w:val="restart"/>
          </w:tcPr>
          <w:p>
            <w:pPr>
              <w:jc w:val="right"/>
              <w:ind w:right="520"/>
              <w:spacing w:after="0"/>
              <w:rPr>
                <w:sz w:val="20"/>
                <w:szCs w:val="20"/>
                <w:color w:val="auto"/>
              </w:rPr>
            </w:pPr>
            <w:r>
              <w:rPr>
                <w:rFonts w:ascii="Times New Roman" w:cs="Times New Roman" w:eastAsia="Times New Roman" w:hAnsi="Times New Roman"/>
                <w:sz w:val="20"/>
                <w:szCs w:val="20"/>
                <w:color w:val="231F20"/>
                <w:w w:val="99"/>
              </w:rPr>
              <w:t>Weighted average grant date fair value per share for options granted</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6"/>
                <w:szCs w:val="16"/>
                <w:color w:val="auto"/>
              </w:rPr>
            </w:pPr>
          </w:p>
        </w:tc>
        <w:tc>
          <w:tcPr>
            <w:tcW w:w="32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687"/>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5.82</w:t>
            </w:r>
          </w:p>
        </w:tc>
        <w:tc>
          <w:tcPr>
            <w:tcW w:w="16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Aggregate intrinsic value of stock options exercised (in thousands) ..........</w:t>
            </w:r>
          </w:p>
        </w:tc>
        <w:tc>
          <w:tcPr>
            <w:tcW w:w="880" w:type="dxa"/>
            <w:vAlign w:val="bottom"/>
          </w:tcPr>
          <w:p>
            <w:pPr>
              <w:jc w:val="right"/>
              <w:ind w:right="687"/>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2,123</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8,006</w:t>
            </w:r>
          </w:p>
        </w:tc>
        <w:tc>
          <w:tcPr>
            <w:tcW w:w="160" w:type="dxa"/>
            <w:vAlign w:val="bottom"/>
          </w:tcPr>
          <w:p>
            <w:pPr>
              <w:spacing w:after="0"/>
              <w:rPr>
                <w:sz w:val="23"/>
                <w:szCs w:val="23"/>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-478790</wp:posOffset>
            </wp:positionV>
            <wp:extent cx="299529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extLst>
                    </a:blip>
                    <a:srcRect/>
                    <a:stretch>
                      <a:fillRect/>
                    </a:stretch>
                  </pic:blipFill>
                  <pic:spPr bwMode="auto">
                    <a:xfrm>
                      <a:off x="0" y="0"/>
                      <a:ext cx="2995295" cy="3810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 summary of the Company’s RSU activity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jc w:val="center"/>
              <w:ind w:right="329"/>
              <w:spacing w:after="0"/>
              <w:rPr>
                <w:sz w:val="20"/>
                <w:szCs w:val="20"/>
                <w:color w:val="auto"/>
              </w:rPr>
            </w:pPr>
            <w:r>
              <w:rPr>
                <w:rFonts w:ascii="Times New Roman" w:cs="Times New Roman" w:eastAsia="Times New Roman" w:hAnsi="Times New Roman"/>
                <w:sz w:val="16"/>
                <w:szCs w:val="16"/>
                <w:b w:val="1"/>
                <w:bCs w:val="1"/>
                <w:color w:val="231F20"/>
                <w:w w:val="99"/>
              </w:rPr>
              <w:t>RSUs</w:t>
            </w:r>
          </w:p>
        </w:tc>
      </w:tr>
      <w:tr>
        <w:trPr>
          <w:trHeight w:val="184"/>
        </w:trPr>
        <w:tc>
          <w:tcPr>
            <w:tcW w:w="5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jc w:val="center"/>
              <w:ind w:right="349"/>
              <w:spacing w:after="0"/>
              <w:rPr>
                <w:sz w:val="20"/>
                <w:szCs w:val="20"/>
                <w:color w:val="auto"/>
              </w:rPr>
            </w:pPr>
            <w:r>
              <w:rPr>
                <w:rFonts w:ascii="Times New Roman" w:cs="Times New Roman" w:eastAsia="Times New Roman" w:hAnsi="Times New Roman"/>
                <w:sz w:val="16"/>
                <w:szCs w:val="16"/>
                <w:b w:val="1"/>
                <w:bCs w:val="1"/>
                <w:color w:val="231F20"/>
                <w:w w:val="99"/>
              </w:rPr>
              <w:t>Weighted-Average</w:t>
            </w:r>
          </w:p>
        </w:tc>
      </w:tr>
      <w:tr>
        <w:trPr>
          <w:trHeight w:val="184"/>
        </w:trPr>
        <w:tc>
          <w:tcPr>
            <w:tcW w:w="5800" w:type="dxa"/>
            <w:vAlign w:val="bottom"/>
          </w:tcPr>
          <w:p>
            <w:pPr>
              <w:spacing w:after="0"/>
              <w:rPr>
                <w:sz w:val="16"/>
                <w:szCs w:val="16"/>
                <w:color w:val="auto"/>
              </w:rPr>
            </w:pPr>
          </w:p>
        </w:tc>
        <w:tc>
          <w:tcPr>
            <w:tcW w:w="1560" w:type="dxa"/>
            <w:vAlign w:val="bottom"/>
          </w:tcPr>
          <w:p>
            <w:pPr>
              <w:jc w:val="center"/>
              <w:ind w:left="460"/>
              <w:spacing w:after="0"/>
              <w:rPr>
                <w:sz w:val="20"/>
                <w:szCs w:val="20"/>
                <w:color w:val="auto"/>
              </w:rPr>
            </w:pPr>
            <w:r>
              <w:rPr>
                <w:rFonts w:ascii="Times New Roman" w:cs="Times New Roman" w:eastAsia="Times New Roman" w:hAnsi="Times New Roman"/>
                <w:sz w:val="16"/>
                <w:szCs w:val="16"/>
                <w:b w:val="1"/>
                <w:bCs w:val="1"/>
                <w:color w:val="231F20"/>
                <w:w w:val="99"/>
              </w:rPr>
              <w:t>RSUs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jc w:val="center"/>
              <w:ind w:right="329"/>
              <w:spacing w:after="0"/>
              <w:rPr>
                <w:sz w:val="20"/>
                <w:szCs w:val="20"/>
                <w:color w:val="auto"/>
              </w:rPr>
            </w:pPr>
            <w:r>
              <w:rPr>
                <w:rFonts w:ascii="Times New Roman" w:cs="Times New Roman" w:eastAsia="Times New Roman" w:hAnsi="Times New Roman"/>
                <w:sz w:val="16"/>
                <w:szCs w:val="16"/>
                <w:b w:val="1"/>
                <w:bCs w:val="1"/>
                <w:color w:val="231F20"/>
                <w:w w:val="98"/>
              </w:rPr>
              <w:t>Grant Date Fair</w:t>
            </w:r>
          </w:p>
        </w:tc>
      </w:tr>
      <w:tr>
        <w:trPr>
          <w:trHeight w:val="203"/>
        </w:trPr>
        <w:tc>
          <w:tcPr>
            <w:tcW w:w="5800" w:type="dxa"/>
            <w:vAlign w:val="bottom"/>
          </w:tcPr>
          <w:p>
            <w:pPr>
              <w:spacing w:after="0"/>
              <w:rPr>
                <w:sz w:val="17"/>
                <w:szCs w:val="17"/>
                <w:color w:val="auto"/>
              </w:rPr>
            </w:pPr>
          </w:p>
        </w:tc>
        <w:tc>
          <w:tcPr>
            <w:tcW w:w="1560" w:type="dxa"/>
            <w:vAlign w:val="bottom"/>
            <w:tcBorders>
              <w:bottom w:val="single" w:sz="8" w:color="231F20"/>
            </w:tcBorders>
          </w:tcPr>
          <w:p>
            <w:pPr>
              <w:jc w:val="center"/>
              <w:ind w:left="46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64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160" w:type="dxa"/>
            <w:vAlign w:val="bottom"/>
            <w:tcBorders>
              <w:bottom w:val="single" w:sz="8" w:color="231F20"/>
            </w:tcBorders>
          </w:tcPr>
          <w:p>
            <w:pPr>
              <w:jc w:val="center"/>
              <w:ind w:right="329"/>
              <w:spacing w:after="0"/>
              <w:rPr>
                <w:sz w:val="20"/>
                <w:szCs w:val="20"/>
                <w:color w:val="auto"/>
              </w:rPr>
            </w:pPr>
            <w:r>
              <w:rPr>
                <w:rFonts w:ascii="Times New Roman" w:cs="Times New Roman" w:eastAsia="Times New Roman" w:hAnsi="Times New Roman"/>
                <w:sz w:val="16"/>
                <w:szCs w:val="16"/>
                <w:b w:val="1"/>
                <w:bCs w:val="1"/>
                <w:color w:val="231F20"/>
                <w:w w:val="98"/>
              </w:rPr>
              <w:t>Value per Share</w:t>
            </w:r>
          </w:p>
        </w:tc>
      </w:tr>
      <w:tr>
        <w:trPr>
          <w:trHeight w:val="280"/>
        </w:trPr>
        <w:tc>
          <w:tcPr>
            <w:tcW w:w="7360" w:type="dxa"/>
            <w:vAlign w:val="bottom"/>
            <w:gridSpan w:val="2"/>
          </w:tcPr>
          <w:p>
            <w:pPr>
              <w:jc w:val="right"/>
              <w:ind w:right="1660"/>
              <w:spacing w:after="0"/>
              <w:rPr>
                <w:sz w:val="20"/>
                <w:szCs w:val="20"/>
                <w:color w:val="auto"/>
              </w:rPr>
            </w:pPr>
            <w:r>
              <w:rPr>
                <w:rFonts w:ascii="Times New Roman" w:cs="Times New Roman" w:eastAsia="Times New Roman" w:hAnsi="Times New Roman"/>
                <w:sz w:val="20"/>
                <w:szCs w:val="20"/>
                <w:color w:val="231F20"/>
                <w:w w:val="98"/>
              </w:rPr>
              <w:t>Unvested as of December 31, 2024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1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6.72</w:t>
            </w:r>
          </w:p>
        </w:tc>
      </w:tr>
      <w:tr>
        <w:trPr>
          <w:trHeight w:val="269"/>
        </w:trPr>
        <w:tc>
          <w:tcPr>
            <w:tcW w:w="7360" w:type="dxa"/>
            <w:vAlign w:val="bottom"/>
            <w:gridSpan w:val="2"/>
          </w:tcPr>
          <w:p>
            <w:pPr>
              <w:jc w:val="right"/>
              <w:ind w:right="1660"/>
              <w:spacing w:after="0"/>
              <w:rPr>
                <w:sz w:val="20"/>
                <w:szCs w:val="20"/>
                <w:color w:val="auto"/>
              </w:rPr>
            </w:pPr>
            <w:r>
              <w:rPr>
                <w:rFonts w:ascii="Times New Roman" w:cs="Times New Roman" w:eastAsia="Times New Roman" w:hAnsi="Times New Roman"/>
                <w:sz w:val="20"/>
                <w:szCs w:val="20"/>
                <w:color w:val="231F20"/>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3.28</w:t>
            </w:r>
          </w:p>
        </w:tc>
      </w:tr>
      <w:tr>
        <w:trPr>
          <w:trHeight w:val="269"/>
        </w:trPr>
        <w:tc>
          <w:tcPr>
            <w:tcW w:w="7360" w:type="dxa"/>
            <w:vAlign w:val="bottom"/>
            <w:gridSpan w:val="2"/>
          </w:tcPr>
          <w:p>
            <w:pPr>
              <w:jc w:val="right"/>
              <w:ind w:right="1660"/>
              <w:spacing w:after="0"/>
              <w:rPr>
                <w:sz w:val="20"/>
                <w:szCs w:val="20"/>
                <w:color w:val="auto"/>
              </w:rPr>
            </w:pPr>
            <w:r>
              <w:rPr>
                <w:rFonts w:ascii="Times New Roman" w:cs="Times New Roman" w:eastAsia="Times New Roman" w:hAnsi="Times New Roman"/>
                <w:sz w:val="20"/>
                <w:szCs w:val="20"/>
                <w:color w:val="231F20"/>
              </w:rPr>
              <w:t>Vested.................................................................................................</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(1,515)</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5.45</w:t>
            </w:r>
          </w:p>
        </w:tc>
      </w:tr>
      <w:tr>
        <w:trPr>
          <w:trHeight w:val="252"/>
        </w:trPr>
        <w:tc>
          <w:tcPr>
            <w:tcW w:w="58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Forfeited .............................................................................................</w:t>
            </w:r>
          </w:p>
        </w:tc>
        <w:tc>
          <w:tcPr>
            <w:tcW w:w="156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5.35</w:t>
            </w:r>
          </w:p>
        </w:tc>
      </w:tr>
      <w:tr>
        <w:trPr>
          <w:trHeight w:val="264"/>
        </w:trPr>
        <w:tc>
          <w:tcPr>
            <w:tcW w:w="7360" w:type="dxa"/>
            <w:vAlign w:val="bottom"/>
            <w:gridSpan w:val="2"/>
          </w:tcPr>
          <w:p>
            <w:pPr>
              <w:jc w:val="right"/>
              <w:ind w:right="1660"/>
              <w:spacing w:after="0"/>
              <w:rPr>
                <w:sz w:val="20"/>
                <w:szCs w:val="20"/>
                <w:color w:val="auto"/>
              </w:rPr>
            </w:pPr>
            <w:r>
              <w:rPr>
                <w:rFonts w:ascii="Times New Roman" w:cs="Times New Roman" w:eastAsia="Times New Roman" w:hAnsi="Times New Roman"/>
                <w:sz w:val="20"/>
                <w:szCs w:val="20"/>
                <w:color w:val="231F20"/>
                <w:w w:val="98"/>
              </w:rPr>
              <w:t>Unvested as of December 31, 2025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16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5.09</w:t>
            </w:r>
          </w:p>
        </w:tc>
      </w:tr>
      <w:tr>
        <w:trPr>
          <w:trHeight w:val="20"/>
        </w:trPr>
        <w:tc>
          <w:tcPr>
            <w:tcW w:w="5800" w:type="dxa"/>
            <w:vAlign w:val="bottom"/>
          </w:tcPr>
          <w:p>
            <w:pPr>
              <w:spacing w:after="0" w:line="20" w:lineRule="exact"/>
              <w:rPr>
                <w:sz w:val="1"/>
                <w:szCs w:val="1"/>
                <w:color w:val="auto"/>
              </w:rPr>
            </w:pPr>
          </w:p>
        </w:tc>
        <w:tc>
          <w:tcPr>
            <w:tcW w:w="15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57"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No RSAs vested during the years ended December 31, 2025 and 2024, and the fair value of RSAs that vested during the year ended December 31, 2023 was immaterial. The fair value of RSUs that vested during the years ended December 31, 2025, 2024, and 2023 was $4.1 million, $6.4 million, and $1.9 million,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Income taxes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As of December 31, 2025, the Company had U.S. federal and state tax-effected net operating loss (NOL) carryforwards of $245.2 million and $73.6 million, respectively, which are available to reduce future taxable income. As of December 31, 2025, the Company also had federal and state research tax credits of $64.9 million and $30.2 million, respectively, which may be used to offset future liabilities. The Tax Cuts and Jobs Act enacted on December 22, 2017, altered the carryforward period for federal NOLs and as a result, all NOLs generated in 2018 and forward have an indefinite life. Of the federal NOLs reported, we have accumulated $243.6 million with an indefinite life as of December 31, 2025. The state NOL will begin to expire in 2036. The federal tax credit carryforward will begin to expire in 2037, and the state tax credit will carry forward indefinitely. The NOL and tax credit carryforwards may become subject to an annual limitation in the event of certain cumulative changes in the ownership interest. This could limit the amount of tax attributes that can be utilized annually to offset future taxable income or tax liabilities. Subsequent ownership changes may further affect the limitation in future years.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173</w:t>
      </w:r>
    </w:p>
    <w:p>
      <w:pPr>
        <w:sectPr>
          <w:pgSz w:w="11880" w:h="15480" w:orient="portrait"/>
          <w:cols w:equalWidth="0" w:num="1">
            <w:col w:w="10800"/>
          </w:cols>
          <w:pgMar w:left="540" w:top="750" w:right="540" w:bottom="0" w:gutter="0" w:footer="0" w:header="0"/>
          <w:type w:val="continuous"/>
        </w:sectPr>
      </w:pPr>
    </w:p>
    <w:bookmarkStart w:id="179" w:name="page180"/>
    <w:bookmarkEnd w:id="179"/>
    <w:p>
      <w:pPr>
        <w:ind w:left="500"/>
        <w:spacing w:after="0"/>
        <w:rPr>
          <w:sz w:val="20"/>
          <w:szCs w:val="20"/>
          <w:color w:val="auto"/>
        </w:rPr>
      </w:pPr>
      <w:r>
        <w:rPr>
          <w:rFonts w:ascii="Times New Roman" w:cs="Times New Roman" w:eastAsia="Times New Roman" w:hAnsi="Times New Roman"/>
          <w:sz w:val="20"/>
          <w:szCs w:val="20"/>
          <w:color w:val="231F20"/>
        </w:rPr>
        <w:t>A reconciliation of income taxes computed using the U.S. federal statutory rate to that reflected in operations follows:</w:t>
      </w:r>
    </w:p>
    <w:p>
      <w:pPr>
        <w:spacing w:after="0" w:line="29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4651375</wp:posOffset>
                </wp:positionH>
                <wp:positionV relativeFrom="paragraph">
                  <wp:posOffset>16510</wp:posOffset>
                </wp:positionV>
                <wp:extent cx="22066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662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25pt,1.3pt" to="540pt,1.3pt" o:allowincell="f" strokecolor="#231F20" strokeweight="0.75pt"/>
            </w:pict>
          </mc:Fallback>
        </mc:AlternateConten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760" w:type="dxa"/>
            <w:vAlign w:val="bottom"/>
          </w:tcPr>
          <w:p>
            <w:pPr>
              <w:spacing w:after="0"/>
              <w:rPr>
                <w:sz w:val="17"/>
                <w:szCs w:val="17"/>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34"/>
        </w:trPr>
        <w:tc>
          <w:tcPr>
            <w:tcW w:w="7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.............................................................................................................Federalstatutorytax</w:t>
            </w:r>
          </w:p>
        </w:tc>
        <w:tc>
          <w:tcPr>
            <w:tcW w:w="90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21.00%</w:t>
            </w:r>
          </w:p>
        </w:tc>
        <w:tc>
          <w:tcPr>
            <w:tcW w:w="160" w:type="dxa"/>
            <w:vAlign w:val="bottom"/>
          </w:tcPr>
          <w:p>
            <w:pPr>
              <w:spacing w:after="0"/>
              <w:rPr>
                <w:sz w:val="20"/>
                <w:szCs w:val="20"/>
                <w:color w:val="auto"/>
              </w:rPr>
            </w:pPr>
          </w:p>
        </w:tc>
        <w:tc>
          <w:tcPr>
            <w:tcW w:w="16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21.00%</w:t>
            </w:r>
          </w:p>
        </w:tc>
      </w:tr>
      <w:tr>
        <w:trPr>
          <w:trHeight w:val="244"/>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State income tax, net of federal benefit ................................................................................</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(6.31)</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15.38</w:t>
            </w:r>
          </w:p>
        </w:tc>
      </w:tr>
      <w:tr>
        <w:trPr>
          <w:trHeight w:val="244"/>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Valuation allowance .............................................................................................................</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(18.00)</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(45.30)</w:t>
            </w:r>
          </w:p>
        </w:tc>
      </w:tr>
      <w:tr>
        <w:trPr>
          <w:trHeight w:val="244"/>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Success payment liabilities ...................................................................................................</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0.55</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0.58</w:t>
            </w:r>
          </w:p>
        </w:tc>
      </w:tr>
      <w:tr>
        <w:trPr>
          <w:trHeight w:val="244"/>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Contingent consideration ......................................................................................................</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0.05</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3.02</w:t>
            </w:r>
          </w:p>
        </w:tc>
      </w:tr>
      <w:tr>
        <w:trPr>
          <w:trHeight w:val="244"/>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Tax credits ............................................................................................................................</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3.83</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6.59</w:t>
            </w:r>
          </w:p>
        </w:tc>
      </w:tr>
      <w:tr>
        <w:trPr>
          <w:trHeight w:val="249"/>
        </w:trPr>
        <w:tc>
          <w:tcPr>
            <w:tcW w:w="8220" w:type="dxa"/>
            <w:vAlign w:val="bottom"/>
            <w:gridSpan w:val="2"/>
          </w:tcPr>
          <w:p>
            <w:pPr>
              <w:jc w:val="right"/>
              <w:ind w:right="1080"/>
              <w:spacing w:after="0"/>
              <w:rPr>
                <w:sz w:val="20"/>
                <w:szCs w:val="20"/>
                <w:color w:val="auto"/>
              </w:rPr>
            </w:pPr>
            <w:r>
              <w:rPr>
                <w:rFonts w:ascii="Times New Roman" w:cs="Times New Roman" w:eastAsia="Times New Roman" w:hAnsi="Times New Roman"/>
                <w:sz w:val="20"/>
                <w:szCs w:val="20"/>
                <w:color w:val="231F20"/>
                <w:w w:val="99"/>
              </w:rPr>
              <w:t>Other .....................................................................................................................................</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(1.12)</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(1.27)</w:t>
            </w:r>
          </w:p>
        </w:tc>
      </w:tr>
      <w:tr>
        <w:trPr>
          <w:trHeight w:val="239"/>
        </w:trPr>
        <w:tc>
          <w:tcPr>
            <w:tcW w:w="7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......................................................................................................Effectiveincometaxrate</w:t>
            </w:r>
          </w:p>
        </w:tc>
        <w:tc>
          <w:tcPr>
            <w:tcW w:w="900" w:type="dxa"/>
            <w:vAlign w:val="bottom"/>
            <w:tcBorders>
              <w:top w:val="single" w:sz="8" w:color="231F20"/>
              <w:bottom w:val="single" w:sz="8" w:color="231F20"/>
            </w:tcBorders>
          </w:tcPr>
          <w:p>
            <w:pPr>
              <w:spacing w:after="0"/>
              <w:rPr>
                <w:sz w:val="20"/>
                <w:szCs w:val="20"/>
                <w:color w:val="auto"/>
              </w:rPr>
            </w:pP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0.00%</w:t>
            </w:r>
          </w:p>
        </w:tc>
        <w:tc>
          <w:tcPr>
            <w:tcW w:w="160" w:type="dxa"/>
            <w:vAlign w:val="bottom"/>
          </w:tcPr>
          <w:p>
            <w:pPr>
              <w:spacing w:after="0"/>
              <w:rPr>
                <w:sz w:val="20"/>
                <w:szCs w:val="20"/>
                <w:color w:val="auto"/>
              </w:rPr>
            </w:pPr>
          </w:p>
        </w:tc>
        <w:tc>
          <w:tcPr>
            <w:tcW w:w="16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0.00%</w:t>
            </w:r>
          </w:p>
        </w:tc>
      </w:tr>
      <w:tr>
        <w:trPr>
          <w:trHeight w:val="20"/>
        </w:trPr>
        <w:tc>
          <w:tcPr>
            <w:tcW w:w="73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The Company adopted ASU 2023-09, Income Taxes (Topic 740): Improvements to Income Tax Disclosures for the year ended December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340" w:type="dxa"/>
            <w:vAlign w:val="bottom"/>
            <w:tcBorders>
              <w:top w:val="single" w:sz="8" w:color="231F20"/>
            </w:tcBorders>
          </w:tcPr>
          <w:p>
            <w:pPr>
              <w:spacing w:after="0"/>
              <w:rPr>
                <w:sz w:val="16"/>
                <w:szCs w:val="16"/>
                <w:color w:val="auto"/>
              </w:rPr>
            </w:pPr>
          </w:p>
        </w:tc>
        <w:tc>
          <w:tcPr>
            <w:tcW w:w="1980" w:type="dxa"/>
            <w:vAlign w:val="bottom"/>
            <w:tcBorders>
              <w:top w:val="single" w:sz="8" w:color="231F20"/>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20" w:type="dxa"/>
            <w:vAlign w:val="bottom"/>
            <w:tcBorders>
              <w:top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Federal statutory tax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(51,275)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21.00%</w:t>
            </w: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44,102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(18.06)</w:t>
            </w: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 ................................................................................................</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(2.22)</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Contingent consideration ..................................................................................................</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Success payment liabilities ...............................................................................................</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(1.17)</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non-deductible items ...............................................................................................</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(0.37)</w:t>
            </w:r>
          </w:p>
        </w:tc>
        <w:tc>
          <w:tcPr>
            <w:tcW w:w="0" w:type="dxa"/>
            <w:vAlign w:val="bottom"/>
          </w:tcPr>
          <w:p>
            <w:pPr>
              <w:spacing w:after="0"/>
              <w:rPr>
                <w:sz w:val="1"/>
                <w:szCs w:val="1"/>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 credits ....................................................................................</w:t>
            </w: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(5,222)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(0.04)</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Effective income tax rate</w:t>
            </w:r>
          </w:p>
        </w:tc>
        <w:tc>
          <w:tcPr>
            <w:tcW w:w="340" w:type="dxa"/>
            <w:vAlign w:val="bottom"/>
            <w:tcBorders>
              <w:left w:val="single" w:sz="8" w:color="231F20"/>
            </w:tcBorders>
            <w:shd w:val="clear" w:color="auto" w:fill="231F20"/>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left w:val="single" w:sz="8" w:color="231F20"/>
            </w:tcBorders>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340" w:type="dxa"/>
            <w:vAlign w:val="bottom"/>
            <w:vMerge w:val="continue"/>
          </w:tcPr>
          <w:p>
            <w:pPr>
              <w:ind w:left="206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0.00%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231F20"/>
              </w:rPr>
              <w:t>The principal components of the Company’s net deferred tax assets are as follows:</w:t>
            </w: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34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980" w:type="dxa"/>
            <w:vAlign w:val="bottom"/>
            <w:tcBorders>
              <w:bottom w:val="single" w:sz="8" w:color="231F20"/>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92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340" w:type="dxa"/>
            <w:vAlign w:val="bottom"/>
          </w:tcPr>
          <w:p>
            <w:pPr>
              <w:spacing w:after="0"/>
              <w:rPr>
                <w:sz w:val="16"/>
                <w:szCs w:val="16"/>
                <w:color w:val="auto"/>
              </w:rPr>
            </w:pPr>
          </w:p>
        </w:tc>
        <w:tc>
          <w:tcPr>
            <w:tcW w:w="34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3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operating loss carryforwards .......................................................................................</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299,757</w:t>
            </w:r>
          </w:p>
        </w:tc>
        <w:tc>
          <w:tcPr>
            <w:tcW w:w="100" w:type="dxa"/>
            <w:vAlign w:val="bottom"/>
          </w:tcPr>
          <w:p>
            <w:pPr>
              <w:spacing w:after="0"/>
              <w:rPr>
                <w:sz w:val="21"/>
                <w:szCs w:val="21"/>
                <w:color w:val="auto"/>
              </w:rPr>
            </w:pP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227,866</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Capitalized research and development ...............................................................................</w:t>
            </w:r>
          </w:p>
        </w:tc>
        <w:tc>
          <w:tcPr>
            <w:tcW w:w="3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73,895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101,732</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Tax credit carryforwards ....................................................................................................</w:t>
            </w:r>
          </w:p>
        </w:tc>
        <w:tc>
          <w:tcPr>
            <w:tcW w:w="3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88,713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81,697</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Lease liabilities...................................................................................................................</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20,454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24,040</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 .................................................................................................</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10,766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13,258</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Intangibles..........................................................................................................................</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6,875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8,902</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liabilities and allowances .....................................................................................</w:t>
            </w:r>
          </w:p>
        </w:tc>
        <w:tc>
          <w:tcPr>
            <w:tcW w:w="3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4,090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4,329</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Fixed assets ........................................................................................................................</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12,339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1,935</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Success payment liabilities.................................................................................................</w:t>
            </w:r>
          </w:p>
        </w:tc>
        <w:tc>
          <w:tcPr>
            <w:tcW w:w="3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82</w:t>
            </w:r>
          </w:p>
        </w:tc>
        <w:tc>
          <w:tcPr>
            <w:tcW w:w="0" w:type="dxa"/>
            <w:vAlign w:val="bottom"/>
          </w:tcPr>
          <w:p>
            <w:pPr>
              <w:spacing w:after="0"/>
              <w:rPr>
                <w:sz w:val="1"/>
                <w:szCs w:val="1"/>
                <w:color w:val="auto"/>
              </w:rPr>
            </w:pPr>
          </w:p>
        </w:tc>
      </w:tr>
      <w:tr>
        <w:trPr>
          <w:trHeight w:val="24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3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401</w:t>
            </w:r>
          </w:p>
        </w:tc>
        <w:tc>
          <w:tcPr>
            <w:tcW w:w="100" w:type="dxa"/>
            <w:vAlign w:val="bottom"/>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1,475</w:t>
            </w:r>
          </w:p>
        </w:tc>
        <w:tc>
          <w:tcPr>
            <w:tcW w:w="0" w:type="dxa"/>
            <w:vAlign w:val="bottom"/>
          </w:tcPr>
          <w:p>
            <w:pPr>
              <w:spacing w:after="0"/>
              <w:rPr>
                <w:sz w:val="1"/>
                <w:szCs w:val="1"/>
                <w:color w:val="auto"/>
              </w:rPr>
            </w:pPr>
          </w:p>
        </w:tc>
      </w:tr>
      <w:tr>
        <w:trPr>
          <w:trHeight w:val="234"/>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........................................................................................................Grossdeferredtaxassets</w:t>
            </w:r>
          </w:p>
        </w:tc>
        <w:tc>
          <w:tcPr>
            <w:tcW w:w="3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517,644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465,316</w:t>
            </w:r>
          </w:p>
        </w:tc>
        <w:tc>
          <w:tcPr>
            <w:tcW w:w="0" w:type="dxa"/>
            <w:vAlign w:val="bottom"/>
          </w:tcPr>
          <w:p>
            <w:pPr>
              <w:spacing w:after="0"/>
              <w:rPr>
                <w:sz w:val="1"/>
                <w:szCs w:val="1"/>
                <w:color w:val="auto"/>
              </w:rPr>
            </w:pPr>
          </w:p>
        </w:tc>
      </w:tr>
      <w:tr>
        <w:trPr>
          <w:trHeight w:val="249"/>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3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(507,814)</w:t>
            </w:r>
          </w:p>
        </w:tc>
        <w:tc>
          <w:tcPr>
            <w:tcW w:w="100" w:type="dxa"/>
            <w:vAlign w:val="bottom"/>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(450,666)</w:t>
            </w:r>
          </w:p>
        </w:tc>
        <w:tc>
          <w:tcPr>
            <w:tcW w:w="0" w:type="dxa"/>
            <w:vAlign w:val="bottom"/>
          </w:tcPr>
          <w:p>
            <w:pPr>
              <w:spacing w:after="0"/>
              <w:rPr>
                <w:sz w:val="1"/>
                <w:szCs w:val="1"/>
                <w:color w:val="auto"/>
              </w:rPr>
            </w:pPr>
          </w:p>
        </w:tc>
      </w:tr>
      <w:tr>
        <w:trPr>
          <w:trHeight w:val="239"/>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.....................................................................Deferredtaxassets,netofvaluationallowance</w:t>
            </w:r>
          </w:p>
        </w:tc>
        <w:tc>
          <w:tcPr>
            <w:tcW w:w="34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9,830</w:t>
            </w:r>
          </w:p>
        </w:tc>
        <w:tc>
          <w:tcPr>
            <w:tcW w:w="100" w:type="dxa"/>
            <w:vAlign w:val="bottom"/>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14,650</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 .............................................................................................................</w:t>
            </w:r>
          </w:p>
        </w:tc>
        <w:tc>
          <w:tcPr>
            <w:tcW w:w="3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(9,830)</w:t>
            </w:r>
          </w:p>
        </w:tc>
        <w:tc>
          <w:tcPr>
            <w:tcW w:w="100" w:type="dxa"/>
            <w:vAlign w:val="bottom"/>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(14,650)</w:t>
            </w:r>
          </w:p>
        </w:tc>
        <w:tc>
          <w:tcPr>
            <w:tcW w:w="0" w:type="dxa"/>
            <w:vAlign w:val="bottom"/>
          </w:tcPr>
          <w:p>
            <w:pPr>
              <w:spacing w:after="0"/>
              <w:rPr>
                <w:sz w:val="1"/>
                <w:szCs w:val="1"/>
                <w:color w:val="auto"/>
              </w:rPr>
            </w:pPr>
          </w:p>
        </w:tc>
      </w:tr>
      <w:tr>
        <w:trPr>
          <w:trHeight w:val="239"/>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........................................................................................................Netdeferredtaxesassets</w:t>
            </w:r>
          </w:p>
        </w:tc>
        <w:tc>
          <w:tcPr>
            <w:tcW w:w="34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Borders>
              <w:bottom w:val="single" w:sz="8" w:color="231F20"/>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5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The One Big Beautiful Bill Act (OBBBA) enacted on July 4, 2025, introduced notable changes to the U.S. Internal Revenue Code, including immediate expensing of domestic research and development costs that are incident to the development or improvement of a product, process, formula, invention, computer software, or technique. As previously required under the Tax Cuts</w:t>
      </w:r>
    </w:p>
    <w:p>
      <w:pPr>
        <w:sectPr>
          <w:pgSz w:w="11880" w:h="15480" w:orient="portrait"/>
          <w:cols w:equalWidth="0" w:num="1">
            <w:col w:w="10800"/>
          </w:cols>
          <w:pgMar w:left="540" w:top="750" w:right="540" w:bottom="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174</w:t>
      </w:r>
    </w:p>
    <w:p>
      <w:pPr>
        <w:sectPr>
          <w:pgSz w:w="11880" w:h="15480" w:orient="portrait"/>
          <w:cols w:equalWidth="0" w:num="1">
            <w:col w:w="10800"/>
          </w:cols>
          <w:pgMar w:left="540" w:top="750" w:right="540" w:bottom="0" w:gutter="0" w:footer="0" w:header="0"/>
          <w:type w:val="continuous"/>
        </w:sectPr>
      </w:pPr>
    </w:p>
    <w:bookmarkStart w:id="180" w:name="page181"/>
    <w:bookmarkEnd w:id="180"/>
    <w:p>
      <w:pPr>
        <w:spacing w:after="0" w:line="277" w:lineRule="auto"/>
        <w:rPr>
          <w:sz w:val="20"/>
          <w:szCs w:val="20"/>
          <w:color w:val="auto"/>
        </w:rPr>
      </w:pPr>
      <w:r>
        <w:rPr>
          <w:rFonts w:ascii="Times New Roman" w:cs="Times New Roman" w:eastAsia="Times New Roman" w:hAnsi="Times New Roman"/>
          <w:sz w:val="20"/>
          <w:szCs w:val="20"/>
          <w:color w:val="231F20"/>
        </w:rPr>
        <w:t>and Jobs Act, the Company capitalized research and development expenditures in the years ended December 31, 2022 through December 31, 2024. With the enactment of OBBBA, the Company began deducting domestic research and development costs in 2025.</w:t>
      </w:r>
    </w:p>
    <w:p>
      <w:pPr>
        <w:spacing w:after="0" w:line="16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valuation allowance relates primarily to net U.S. deferred tax assets from operating losses, research tax credit carryforwards, capitalized research and development, and amounts paid and accrued to enter into various agreements for which the tax treatment requires capitalization and amortization.</w:t>
      </w:r>
    </w:p>
    <w:p>
      <w:pPr>
        <w:spacing w:after="0" w:line="1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The Company maintains a full valuation allowance on its net U.S.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and its forecasted losses in the near term as significant negative evidence. Based upon a review of the four sources of income identified within ASC 740, </w:t>
      </w:r>
      <w:r>
        <w:rPr>
          <w:rFonts w:ascii="Times New Roman" w:cs="Times New Roman" w:eastAsia="Times New Roman" w:hAnsi="Times New Roman"/>
          <w:sz w:val="20"/>
          <w:szCs w:val="20"/>
          <w:i w:val="1"/>
          <w:iCs w:val="1"/>
          <w:color w:val="231F20"/>
        </w:rPr>
        <w:t>Accounting for Income Taxes</w:t>
      </w:r>
      <w:r>
        <w:rPr>
          <w:rFonts w:ascii="Times New Roman" w:cs="Times New Roman" w:eastAsia="Times New Roman" w:hAnsi="Times New Roman"/>
          <w:sz w:val="20"/>
          <w:szCs w:val="20"/>
          <w:color w:val="231F20"/>
        </w:rPr>
        <w:t>, the Company determined that the negative evidence outweighed the positive evidence, and a full valuation allowance on its net deferred tax assets should be maintained. The Company will continue to assess the realizability of its deferred tax assets going forward and will adjust the valuation allowance as needed.</w:t>
      </w:r>
    </w:p>
    <w:p>
      <w:pPr>
        <w:spacing w:after="0" w:line="202" w:lineRule="exact"/>
        <w:rPr>
          <w:sz w:val="20"/>
          <w:szCs w:val="20"/>
          <w:color w:val="auto"/>
        </w:rPr>
      </w:pPr>
    </w:p>
    <w:p>
      <w:pPr>
        <w:ind w:right="560" w:firstLine="490"/>
        <w:spacing w:after="0" w:line="258" w:lineRule="auto"/>
        <w:rPr>
          <w:sz w:val="20"/>
          <w:szCs w:val="20"/>
          <w:color w:val="auto"/>
        </w:rPr>
      </w:pPr>
      <w:r>
        <w:rPr>
          <w:rFonts w:ascii="Times New Roman" w:cs="Times New Roman" w:eastAsia="Times New Roman" w:hAnsi="Times New Roman"/>
          <w:sz w:val="20"/>
          <w:szCs w:val="20"/>
          <w:color w:val="231F20"/>
        </w:rPr>
        <w:t>As required under ASU 2023-09, the Company has included only the portion of the valuation allowance related to federal deferred tax assets in the rate reconciliation. The following table presents a reconciliation of the total change in the valuation allowance: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r>
      <w:tr>
        <w:trPr>
          <w:trHeight w:val="187"/>
        </w:trPr>
        <w:tc>
          <w:tcPr>
            <w:tcW w:w="7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(in</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82"/>
              </w:rPr>
              <w:t>thousands)</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7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99"/>
              </w:rPr>
              <w:t>Beginning balance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(450,666)</w:t>
            </w:r>
          </w:p>
        </w:tc>
        <w:tc>
          <w:tcPr>
            <w:tcW w:w="48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231F20"/>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(402,659)</w:t>
            </w:r>
          </w:p>
        </w:tc>
      </w:tr>
      <w:tr>
        <w:trPr>
          <w:trHeight w:val="250"/>
        </w:trPr>
        <w:tc>
          <w:tcPr>
            <w:tcW w:w="7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Change charged to income tax expense .............................................................................</w:t>
            </w: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(57,148)</w:t>
            </w:r>
          </w:p>
        </w:tc>
        <w:tc>
          <w:tcPr>
            <w:tcW w:w="4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(48,007)</w:t>
            </w:r>
          </w:p>
        </w:tc>
      </w:tr>
      <w:tr>
        <w:trPr>
          <w:trHeight w:val="239"/>
        </w:trPr>
        <w:tc>
          <w:tcPr>
            <w:tcW w:w="7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.......................................................................................................................Endingbalance</w:t>
            </w: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(507,814)</w:t>
            </w:r>
          </w:p>
        </w:tc>
        <w:tc>
          <w:tcPr>
            <w:tcW w:w="260" w:type="dxa"/>
            <w:vAlign w:val="bottom"/>
          </w:tcPr>
          <w:p>
            <w:pPr>
              <w:spacing w:after="0"/>
              <w:rPr>
                <w:sz w:val="20"/>
                <w:szCs w:val="20"/>
                <w:color w:val="auto"/>
              </w:rPr>
            </w:pPr>
          </w:p>
        </w:tc>
        <w:tc>
          <w:tcPr>
            <w:tcW w:w="480" w:type="dxa"/>
            <w:vAlign w:val="bottom"/>
            <w:tcBorders>
              <w:top w:val="single" w:sz="8" w:color="231F20"/>
              <w:bottom w:val="single" w:sz="8" w:color="231F20"/>
            </w:tcBorders>
          </w:tcPr>
          <w:p>
            <w:pPr>
              <w:jc w:val="center"/>
              <w:ind w:right="280"/>
              <w:spacing w:after="0"/>
              <w:rPr>
                <w:sz w:val="20"/>
                <w:szCs w:val="20"/>
                <w:color w:val="auto"/>
              </w:rPr>
            </w:pPr>
            <w:r>
              <w:rPr>
                <w:rFonts w:ascii="Times New Roman" w:cs="Times New Roman" w:eastAsia="Times New Roman" w:hAnsi="Times New Roman"/>
                <w:sz w:val="20"/>
                <w:szCs w:val="20"/>
                <w:color w:val="231F20"/>
                <w:w w:val="99"/>
              </w:rPr>
              <w:t>$</w:t>
            </w: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(450,666)</w:t>
            </w:r>
          </w:p>
        </w:tc>
        <w:tc>
          <w:tcPr>
            <w:tcW w:w="60" w:type="dxa"/>
            <w:vAlign w:val="bottom"/>
          </w:tcPr>
          <w:p>
            <w:pPr>
              <w:spacing w:after="0"/>
              <w:rPr>
                <w:sz w:val="20"/>
                <w:szCs w:val="20"/>
                <w:color w:val="auto"/>
              </w:rPr>
            </w:pPr>
          </w:p>
        </w:tc>
      </w:tr>
      <w:tr>
        <w:trPr>
          <w:trHeight w:val="20"/>
        </w:trPr>
        <w:tc>
          <w:tcPr>
            <w:tcW w:w="73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31F20"/>
        </w:rPr>
        <w:t>The Company determines its uncertain tax positions based on a determination of whether and how much of the tax benefit the Company takes in its tax filings or positions is more likely than not to be sustained upon examination by the relevant income tax authorities. The Company is generally subject to examination by U.S. federal and local income tax authorities for all tax years in which the loss carryforward is available. The Company applies judgment in its determination of the financial statement recognition and measurement of tax positions taken or expected to be taken in a tax return. As of December 31, 2025 and 2024, the Company’s uncertain tax positions were immaterial.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Net loss per share</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Basic and diluted net loss per common share are calculated by dividing net loss by the weighted-average number of common shares outstanding during the period, without consideration for common stock equivalents. The Company was in a loss position for all periods presented, and basic net loss per share and diluted net loss per share are therefore the same for all periods, as the inclusion of all potential common securities outstanding would have been anti-dilutive.</w:t>
      </w:r>
    </w:p>
    <w:p>
      <w:pPr>
        <w:spacing w:after="0" w:line="194"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231F20"/>
        </w:rPr>
        <w:t>The following securities were excluded from the computation of net loss per diluted share of common stock for periods presented as their effect would have been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Year Ended December 31,</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93"/>
        </w:trPr>
        <w:tc>
          <w:tcPr>
            <w:tcW w:w="6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2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980" w:type="dxa"/>
            <w:vAlign w:val="bottom"/>
            <w:tcBorders>
              <w:top w:val="single" w:sz="8" w:color="231F20"/>
            </w:tcBorders>
          </w:tcPr>
          <w:p>
            <w:pPr>
              <w:spacing w:after="0"/>
              <w:rPr>
                <w:sz w:val="16"/>
                <w:szCs w:val="16"/>
                <w:color w:val="auto"/>
              </w:rPr>
            </w:pPr>
          </w:p>
        </w:tc>
        <w:tc>
          <w:tcPr>
            <w:tcW w:w="720" w:type="dxa"/>
            <w:vAlign w:val="bottom"/>
            <w:tcBorders>
              <w:top w:val="single" w:sz="8" w:color="231F20"/>
            </w:tcBorders>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top w:val="single" w:sz="8" w:color="231F20"/>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80" w:type="dxa"/>
            <w:vAlign w:val="bottom"/>
          </w:tcPr>
          <w:p>
            <w:pPr>
              <w:spacing w:after="0"/>
              <w:rPr>
                <w:sz w:val="16"/>
                <w:szCs w:val="16"/>
                <w:color w:val="auto"/>
              </w:rPr>
            </w:pPr>
          </w:p>
        </w:tc>
        <w:tc>
          <w:tcPr>
            <w:tcW w:w="160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r>
      <w:tr>
        <w:trPr>
          <w:trHeight w:val="244"/>
        </w:trPr>
        <w:tc>
          <w:tcPr>
            <w:tcW w:w="6360" w:type="dxa"/>
            <w:vAlign w:val="bottom"/>
            <w:gridSpan w:val="2"/>
          </w:tcPr>
          <w:p>
            <w:pPr>
              <w:jc w:val="right"/>
              <w:ind w:right="1160"/>
              <w:spacing w:after="0"/>
              <w:rPr>
                <w:sz w:val="20"/>
                <w:szCs w:val="20"/>
                <w:color w:val="auto"/>
              </w:rPr>
            </w:pPr>
            <w:r>
              <w:rPr>
                <w:rFonts w:ascii="Times New Roman" w:cs="Times New Roman" w:eastAsia="Times New Roman" w:hAnsi="Times New Roman"/>
                <w:sz w:val="20"/>
                <w:szCs w:val="20"/>
                <w:color w:val="231F20"/>
                <w:w w:val="99"/>
              </w:rPr>
              <w:t>Options to purchase common stock ...............................................</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22,942</w:t>
            </w: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25,062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26,849</w:t>
            </w:r>
          </w:p>
        </w:tc>
        <w:tc>
          <w:tcPr>
            <w:tcW w:w="60" w:type="dxa"/>
            <w:vAlign w:val="bottom"/>
          </w:tcPr>
          <w:p>
            <w:pPr>
              <w:spacing w:after="0"/>
              <w:rPr>
                <w:sz w:val="21"/>
                <w:szCs w:val="21"/>
                <w:color w:val="auto"/>
              </w:rPr>
            </w:pPr>
          </w:p>
        </w:tc>
      </w:tr>
      <w:tr>
        <w:trPr>
          <w:trHeight w:val="249"/>
        </w:trPr>
        <w:tc>
          <w:tcPr>
            <w:tcW w:w="6360" w:type="dxa"/>
            <w:vAlign w:val="bottom"/>
            <w:gridSpan w:val="2"/>
          </w:tcPr>
          <w:p>
            <w:pPr>
              <w:jc w:val="right"/>
              <w:ind w:right="1160"/>
              <w:spacing w:after="0"/>
              <w:rPr>
                <w:sz w:val="20"/>
                <w:szCs w:val="20"/>
                <w:color w:val="auto"/>
              </w:rPr>
            </w:pPr>
            <w:r>
              <w:rPr>
                <w:rFonts w:ascii="Times New Roman" w:cs="Times New Roman" w:eastAsia="Times New Roman" w:hAnsi="Times New Roman"/>
                <w:sz w:val="20"/>
                <w:szCs w:val="20"/>
                <w:color w:val="231F20"/>
                <w:w w:val="99"/>
              </w:rPr>
              <w:t>Unvested RSUs ..............................................................................</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3,828</w:t>
            </w: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3,570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2,341</w:t>
            </w:r>
          </w:p>
        </w:tc>
        <w:tc>
          <w:tcPr>
            <w:tcW w:w="60" w:type="dxa"/>
            <w:vAlign w:val="bottom"/>
          </w:tcPr>
          <w:p>
            <w:pPr>
              <w:spacing w:after="0"/>
              <w:rPr>
                <w:sz w:val="21"/>
                <w:szCs w:val="21"/>
                <w:color w:val="auto"/>
              </w:rPr>
            </w:pPr>
          </w:p>
        </w:tc>
      </w:tr>
      <w:tr>
        <w:trPr>
          <w:trHeight w:val="239"/>
        </w:trPr>
        <w:tc>
          <w:tcPr>
            <w:tcW w:w="538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231F20"/>
              </w:rPr>
              <w:t>...............................................................................................Total</w:t>
            </w:r>
          </w:p>
        </w:tc>
        <w:tc>
          <w:tcPr>
            <w:tcW w:w="980" w:type="dxa"/>
            <w:vAlign w:val="bottom"/>
            <w:tcBorders>
              <w:top w:val="single" w:sz="8" w:color="231F20"/>
              <w:bottom w:val="single" w:sz="8" w:color="231F20"/>
            </w:tcBorders>
          </w:tcPr>
          <w:p>
            <w:pPr>
              <w:spacing w:after="0"/>
              <w:rPr>
                <w:sz w:val="20"/>
                <w:szCs w:val="20"/>
                <w:color w:val="auto"/>
              </w:rPr>
            </w:pPr>
          </w:p>
        </w:tc>
        <w:tc>
          <w:tcPr>
            <w:tcW w:w="72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26,770</w:t>
            </w:r>
          </w:p>
        </w:tc>
        <w:tc>
          <w:tcPr>
            <w:tcW w:w="180" w:type="dxa"/>
            <w:vAlign w:val="bottom"/>
          </w:tcPr>
          <w:p>
            <w:pPr>
              <w:spacing w:after="0"/>
              <w:rPr>
                <w:sz w:val="20"/>
                <w:szCs w:val="20"/>
                <w:color w:val="auto"/>
              </w:rPr>
            </w:pPr>
          </w:p>
        </w:tc>
        <w:tc>
          <w:tcPr>
            <w:tcW w:w="1700" w:type="dxa"/>
            <w:vAlign w:val="bottom"/>
            <w:tcBorders>
              <w:top w:val="single" w:sz="8" w:color="231F20"/>
              <w:bottom w:val="single" w:sz="8" w:color="231F20"/>
            </w:tcBorders>
          </w:tcPr>
          <w:p>
            <w:pPr>
              <w:jc w:val="right"/>
              <w:ind w:right="30"/>
              <w:spacing w:after="0"/>
              <w:rPr>
                <w:sz w:val="20"/>
                <w:szCs w:val="20"/>
                <w:color w:val="auto"/>
              </w:rPr>
            </w:pPr>
            <w:r>
              <w:rPr>
                <w:rFonts w:ascii="Times New Roman" w:cs="Times New Roman" w:eastAsia="Times New Roman" w:hAnsi="Times New Roman"/>
                <w:sz w:val="20"/>
                <w:szCs w:val="20"/>
                <w:color w:val="231F20"/>
              </w:rPr>
              <w:t>28,632</w:t>
            </w:r>
          </w:p>
        </w:tc>
        <w:tc>
          <w:tcPr>
            <w:tcW w:w="180" w:type="dxa"/>
            <w:vAlign w:val="bottom"/>
          </w:tcPr>
          <w:p>
            <w:pPr>
              <w:spacing w:after="0"/>
              <w:rPr>
                <w:sz w:val="20"/>
                <w:szCs w:val="20"/>
                <w:color w:val="auto"/>
              </w:rPr>
            </w:pPr>
          </w:p>
        </w:tc>
        <w:tc>
          <w:tcPr>
            <w:tcW w:w="1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29,190</w:t>
            </w:r>
          </w:p>
        </w:tc>
        <w:tc>
          <w:tcPr>
            <w:tcW w:w="60" w:type="dxa"/>
            <w:vAlign w:val="bottom"/>
            <w:tcBorders>
              <w:top w:val="single" w:sz="8" w:color="231F20"/>
              <w:bottom w:val="single" w:sz="8" w:color="231F20"/>
            </w:tcBorders>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-786765</wp:posOffset>
            </wp:positionV>
            <wp:extent cx="34423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3442335" cy="3810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16. Employee benefit plan</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In January 2019, the Company adopted a 401(k) retirement and savings plan (the 401(k) Plan) covering all employees. The 401(k) Plan allows employees to make pre- and post-tax contributions up to the maximum allowable amount set by the IRS. The Company matches each participant’s 401(k) contributions in cash, up to $4,000 per year per participant through December 31, 2025 and, effective January 1, 2026, up to $4,500 per year per participant.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175</w:t>
      </w:r>
    </w:p>
    <w:p>
      <w:pPr>
        <w:sectPr>
          <w:pgSz w:w="11880" w:h="15480" w:orient="portrait"/>
          <w:cols w:equalWidth="0" w:num="1">
            <w:col w:w="10800"/>
          </w:cols>
          <w:pgMar w:left="540" w:top="750" w:right="540" w:bottom="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color w:val="231F20"/>
        </w:rPr>
        <w:t>17. Subsequent event</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In March 2026, the Company entered into the Sales Agreement with TD Cowen, acting as sales agent, pursuant to which it may offer and sell through TD Cowen shares of the Company’s common stock from time to time under the ATM facility. The Sales Agreement amends and restates the Prior Sales Agreement.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20" w:lineRule="exact"/>
        <w:rPr>
          <w:sz w:val="20"/>
          <w:szCs w:val="20"/>
          <w:color w:val="auto"/>
        </w:rPr>
      </w:pPr>
    </w:p>
    <w:p>
      <w:pPr>
        <w:ind w:right="300" w:firstLine="490"/>
        <w:spacing w:after="0" w:line="263" w:lineRule="auto"/>
        <w:rPr>
          <w:sz w:val="20"/>
          <w:szCs w:val="20"/>
          <w:color w:val="auto"/>
        </w:rPr>
      </w:pPr>
      <w:r>
        <w:rPr>
          <w:rFonts w:ascii="Times New Roman" w:cs="Times New Roman" w:eastAsia="Times New Roman" w:hAnsi="Times New Roman"/>
          <w:sz w:val="19"/>
          <w:szCs w:val="19"/>
          <w:color w:val="231F20"/>
        </w:rPr>
        <w:t xml:space="preserve">Our management, </w:t>
      </w:r>
      <w:r>
        <w:rPr>
          <w:rFonts w:ascii="Times New Roman" w:cs="Times New Roman" w:eastAsia="Times New Roman" w:hAnsi="Times New Roman"/>
          <w:sz w:val="18"/>
          <w:szCs w:val="18"/>
          <w:color w:val="231F20"/>
        </w:rPr>
        <w:t>with the participation of our principal executive officer and principal financial officer</w:t>
      </w:r>
      <w:r>
        <w:rPr>
          <w:rFonts w:ascii="Times New Roman" w:cs="Times New Roman" w:eastAsia="Times New Roman" w:hAnsi="Times New Roman"/>
          <w:sz w:val="19"/>
          <w:szCs w:val="19"/>
          <w:color w:val="231F20"/>
        </w:rPr>
        <w:t>, has evaluated our disclosure controls and procedures as defined in Rules 13a-15(e) and 15d-15(e) of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 to allow timely decisions regarding required disclosures.</w:t>
      </w:r>
    </w:p>
    <w:p>
      <w:pPr>
        <w:spacing w:after="0" w:line="18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w:t>
      </w:r>
      <w:r>
        <w:rPr>
          <w:rFonts w:ascii="Times New Roman" w:cs="Times New Roman" w:eastAsia="Times New Roman" w:hAnsi="Times New Roman"/>
          <w:sz w:val="19"/>
          <w:szCs w:val="19"/>
          <w:color w:val="231F20"/>
        </w:rPr>
        <w:t>principal executive officer and principal financial officer</w:t>
      </w:r>
      <w:r>
        <w:rPr>
          <w:rFonts w:ascii="Times New Roman" w:cs="Times New Roman" w:eastAsia="Times New Roman" w:hAnsi="Times New Roman"/>
          <w:sz w:val="20"/>
          <w:szCs w:val="20"/>
          <w:color w:val="231F20"/>
        </w:rPr>
        <w:t xml:space="preserve"> concluded that, as of the end of the period covered by this Annual Report, the design and operation of our disclosure controls and procedures were effective at a reasonable assurance level.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Annual Report on Internal Control Over Financial Reporting</w:t>
      </w:r>
    </w:p>
    <w:p>
      <w:pPr>
        <w:spacing w:after="0" w:line="12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20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Management has assessed the effectiveness of our internal control over financial reporting based on the framework set forth by the Committee of Sponsoring Organizations of the Treadway Commission in Internal Control-Integrated Framework. Based on our evaluation, management has concluded that our internal control over financial reporting was effective as of December 31, 2025. Management reviewed the results of this assessment with our audit committee.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Attestation Report of the Registered Public Accounting Firm</w:t>
      </w:r>
    </w:p>
    <w:p>
      <w:pPr>
        <w:spacing w:after="0" w:line="120" w:lineRule="exact"/>
        <w:rPr>
          <w:sz w:val="20"/>
          <w:szCs w:val="20"/>
          <w:color w:val="auto"/>
        </w:rPr>
      </w:pPr>
    </w:p>
    <w:p>
      <w:pPr>
        <w:ind w:right="800" w:firstLine="490"/>
        <w:spacing w:after="0" w:line="277" w:lineRule="auto"/>
        <w:rPr>
          <w:sz w:val="20"/>
          <w:szCs w:val="20"/>
          <w:color w:val="auto"/>
        </w:rPr>
      </w:pPr>
      <w:r>
        <w:rPr>
          <w:rFonts w:ascii="Times New Roman" w:cs="Times New Roman" w:eastAsia="Times New Roman" w:hAnsi="Times New Roman"/>
          <w:sz w:val="20"/>
          <w:szCs w:val="20"/>
          <w:color w:val="231F20"/>
        </w:rPr>
        <w:t>This Annual Report does not include an attestation report of our registered public accounting firm due to an exemption established by the JOBS Act for “emerging growth companies.”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2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There has been no change in our internal control over financial reporting during the quarter ended December 31, 2025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During our last fiscal quarter, no director or officer, as defined in Rule 16a-1(f) under the Exchange Act, adopted or terminated a “Rule 10b5-1 trading arrangement” or a “non-Rule 10b5-1 trading arrangement,” each as defined in Regulation S-K Item 408.</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176</w:t>
      </w:r>
    </w:p>
    <w:p>
      <w:pPr>
        <w:sectPr>
          <w:pgSz w:w="11880" w:h="15480" w:orient="portrait"/>
          <w:cols w:equalWidth="0" w:num="1">
            <w:col w:w="10800"/>
          </w:cols>
          <w:pgMar w:left="540" w:top="746" w:right="540" w:bottom="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r>
        <w:rPr>
          <w:rFonts w:ascii="Times New Roman" w:cs="Times New Roman" w:eastAsia="Times New Roman" w:hAnsi="Times New Roman"/>
          <w:sz w:val="20"/>
          <w:szCs w:val="20"/>
          <w:color w:val="231F20"/>
        </w:rPr>
        <w:t>.</w:t>
      </w:r>
    </w:p>
    <w:p>
      <w:pPr>
        <w:sectPr>
          <w:pgSz w:w="11880" w:h="15480" w:orient="portrait"/>
          <w:cols w:equalWidth="0" w:num="1">
            <w:col w:w="9900"/>
          </w:cols>
          <w:pgMar w:left="540" w:top="746" w:right="1440" w:bottom="0" w:gutter="0" w:footer="0" w:header="0"/>
        </w:sectPr>
      </w:pP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900"/>
          </w:cols>
          <w:pgMar w:left="540" w:top="74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231F20"/>
        </w:rPr>
        <w:t>177</w:t>
      </w:r>
    </w:p>
    <w:p>
      <w:pPr>
        <w:sectPr>
          <w:pgSz w:w="11880" w:h="15480" w:orient="portrait"/>
          <w:cols w:equalWidth="0" w:num="1">
            <w:col w:w="9900"/>
          </w:cols>
          <w:pgMar w:left="540" w:top="746" w:right="1440" w:bottom="0" w:gutter="0" w:footer="0" w:header="0"/>
          <w:type w:val="continuous"/>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in our Proxy Statement, which will be filed not later than 120 days after December 31, 2025, in the sections titled “Information About Our Board of Directors,” “Information About Our Executive Officers Who Are Not Directors,” and “Corporate Governance.”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in our Proxy Statement, which will be filed not later than 120 days after December 31, 2025, in the sections titled “Executive Compensation,” “Director Compensation,” and “Corporate Governance – Committees of the Board of Directors – Compensation Committee Interlocks and Insider Participation.”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in our Proxy Statement, which will be filed not later than 120 days after December 31, 2025, in the sections titled “Securities Authorized For Issuance Under Equity Compensation Plans” and “Security Ownership of Certain Beneficial Owners and Management.”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in our Proxy Statement, which will be filed not later than 120 days after December 31, 2025, in the sections titled “Corporate Governance – Board of Directors Independence” and “Transactions With Related Persons.”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in our Proxy Statement, which will be filed not later than 120 days after December 31, 2025, in the sections titled “Independent Registered Public Accounting Firm Fees and Services” and “Pre-Approval Policies and Procedures.”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178</w:t>
      </w:r>
    </w:p>
    <w:p>
      <w:pPr>
        <w:sectPr>
          <w:pgSz w:w="11880" w:h="15480" w:orient="portrait"/>
          <w:cols w:equalWidth="0" w:num="1">
            <w:col w:w="10780"/>
          </w:cols>
          <w:pgMar w:left="540" w:top="746" w:right="560" w:bottom="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231F20"/>
        </w:rPr>
        <w:t>(1) All financial statements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Refer to the index to the consolidated financial statements included in Part II, Item 8 of this Annual Report.</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231F20"/>
        </w:rPr>
        <w:t>(2) Financial Statement Schedules</w:t>
      </w:r>
    </w:p>
    <w:p>
      <w:pPr>
        <w:spacing w:after="0" w:line="124"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All financial statement schedules have been omitted because the required information is either presented in the consolidated financial statements filed as part of this Annual Report, or the notes thereto, or is not applicable or required.</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231F20"/>
        </w:rPr>
        <w:t>(3) Exhibits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is a list of exhibits filed or furnished as part of this Annual Report: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Exhibit</w:t>
            </w:r>
          </w:p>
        </w:tc>
        <w:tc>
          <w:tcPr>
            <w:tcW w:w="1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231F20"/>
            </w:tcBorders>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Incorporated by Reference</w:t>
            </w:r>
          </w:p>
        </w:tc>
        <w:tc>
          <w:tcPr>
            <w:tcW w:w="120" w:type="dxa"/>
            <w:vAlign w:val="bottom"/>
          </w:tcPr>
          <w:p>
            <w:pPr>
              <w:spacing w:after="0"/>
              <w:rPr>
                <w:sz w:val="22"/>
                <w:szCs w:val="22"/>
                <w:color w:val="auto"/>
              </w:rPr>
            </w:pPr>
          </w:p>
        </w:tc>
        <w:tc>
          <w:tcPr>
            <w:tcW w:w="1100" w:type="dxa"/>
            <w:vAlign w:val="bottom"/>
            <w:vMerge w:val="restart"/>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rPr>
              <w:t>Filed</w:t>
            </w:r>
          </w:p>
        </w:tc>
        <w:tc>
          <w:tcPr>
            <w:tcW w:w="0" w:type="dxa"/>
            <w:vAlign w:val="bottom"/>
          </w:tcPr>
          <w:p>
            <w:pPr>
              <w:spacing w:after="0"/>
              <w:rPr>
                <w:sz w:val="1"/>
                <w:szCs w:val="1"/>
                <w:color w:val="auto"/>
              </w:rPr>
            </w:pPr>
          </w:p>
        </w:tc>
      </w:tr>
      <w:tr>
        <w:trPr>
          <w:trHeight w:val="196"/>
        </w:trPr>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5060" w:type="dxa"/>
            <w:vAlign w:val="bottom"/>
            <w:tcBorders>
              <w:bottom w:val="single" w:sz="8" w:color="231F20"/>
            </w:tcBorders>
          </w:tcPr>
          <w:p>
            <w:pPr>
              <w:ind w:left="1700"/>
              <w:spacing w:after="0"/>
              <w:rPr>
                <w:sz w:val="20"/>
                <w:szCs w:val="20"/>
                <w:color w:val="auto"/>
              </w:rPr>
            </w:pPr>
            <w:r>
              <w:rPr>
                <w:rFonts w:ascii="Times New Roman" w:cs="Times New Roman" w:eastAsia="Times New Roman" w:hAnsi="Times New Roman"/>
                <w:sz w:val="20"/>
                <w:szCs w:val="20"/>
                <w:b w:val="1"/>
                <w:bCs w:val="1"/>
                <w:color w:val="231F20"/>
              </w:rPr>
              <w:t>Exhibit Description</w:t>
            </w:r>
          </w:p>
        </w:tc>
        <w:tc>
          <w:tcPr>
            <w:tcW w:w="120" w:type="dxa"/>
            <w:vAlign w:val="bottom"/>
          </w:tcPr>
          <w:p>
            <w:pPr>
              <w:spacing w:after="0"/>
              <w:rPr>
                <w:sz w:val="22"/>
                <w:szCs w:val="22"/>
                <w:color w:val="auto"/>
              </w:rPr>
            </w:pPr>
          </w:p>
        </w:tc>
        <w:tc>
          <w:tcPr>
            <w:tcW w:w="760" w:type="dxa"/>
            <w:vAlign w:val="bottom"/>
            <w:tcBorders>
              <w:bottom w:val="single" w:sz="8" w:color="231F20"/>
            </w:tcBorders>
          </w:tcPr>
          <w:p>
            <w:pPr>
              <w:jc w:val="center"/>
              <w:ind w:left="20"/>
              <w:spacing w:after="0"/>
              <w:rPr>
                <w:sz w:val="20"/>
                <w:szCs w:val="20"/>
                <w:color w:val="auto"/>
              </w:rPr>
            </w:pPr>
            <w:r>
              <w:rPr>
                <w:rFonts w:ascii="Times New Roman" w:cs="Times New Roman" w:eastAsia="Times New Roman" w:hAnsi="Times New Roman"/>
                <w:sz w:val="20"/>
                <w:szCs w:val="20"/>
                <w:b w:val="1"/>
                <w:bCs w:val="1"/>
                <w:color w:val="231F20"/>
              </w:rPr>
              <w:t>Form</w:t>
            </w:r>
          </w:p>
        </w:tc>
        <w:tc>
          <w:tcPr>
            <w:tcW w:w="100" w:type="dxa"/>
            <w:vAlign w:val="bottom"/>
          </w:tcPr>
          <w:p>
            <w:pPr>
              <w:spacing w:after="0"/>
              <w:rPr>
                <w:sz w:val="22"/>
                <w:szCs w:val="22"/>
                <w:color w:val="auto"/>
              </w:rPr>
            </w:pPr>
          </w:p>
        </w:tc>
        <w:tc>
          <w:tcPr>
            <w:tcW w:w="1400" w:type="dxa"/>
            <w:vAlign w:val="bottom"/>
            <w:tcBorders>
              <w:bottom w:val="single" w:sz="8" w:color="231F20"/>
            </w:tcBorders>
          </w:tcPr>
          <w:p>
            <w:pPr>
              <w:jc w:val="center"/>
              <w:ind w:left="60"/>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120" w:type="dxa"/>
            <w:vAlign w:val="bottom"/>
          </w:tcPr>
          <w:p>
            <w:pPr>
              <w:spacing w:after="0"/>
              <w:rPr>
                <w:sz w:val="22"/>
                <w:szCs w:val="22"/>
                <w:color w:val="auto"/>
              </w:rPr>
            </w:pPr>
          </w:p>
        </w:tc>
        <w:tc>
          <w:tcPr>
            <w:tcW w:w="1040" w:type="dxa"/>
            <w:vAlign w:val="bottom"/>
            <w:tcBorders>
              <w:bottom w:val="single" w:sz="8" w:color="231F20"/>
            </w:tcBorders>
          </w:tcPr>
          <w:p>
            <w:pPr>
              <w:ind w:left="240"/>
              <w:spacing w:after="0"/>
              <w:rPr>
                <w:sz w:val="20"/>
                <w:szCs w:val="20"/>
                <w:color w:val="auto"/>
              </w:rPr>
            </w:pPr>
            <w:r>
              <w:rPr>
                <w:rFonts w:ascii="Times New Roman" w:cs="Times New Roman" w:eastAsia="Times New Roman" w:hAnsi="Times New Roman"/>
                <w:sz w:val="20"/>
                <w:szCs w:val="20"/>
                <w:b w:val="1"/>
                <w:bCs w:val="1"/>
                <w:color w:val="231F20"/>
              </w:rPr>
              <w:t>Number</w:t>
            </w:r>
          </w:p>
        </w:tc>
        <w:tc>
          <w:tcPr>
            <w:tcW w:w="120" w:type="dxa"/>
            <w:vAlign w:val="bottom"/>
          </w:tcPr>
          <w:p>
            <w:pPr>
              <w:spacing w:after="0"/>
              <w:rPr>
                <w:sz w:val="22"/>
                <w:szCs w:val="22"/>
                <w:color w:val="auto"/>
              </w:rPr>
            </w:pPr>
          </w:p>
        </w:tc>
        <w:tc>
          <w:tcPr>
            <w:tcW w:w="1100" w:type="dxa"/>
            <w:vAlign w:val="bottom"/>
            <w:tcBorders>
              <w:bottom w:val="single" w:sz="8" w:color="231F20"/>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9"/>
              </w:rPr>
              <w:t>Herewith</w:t>
            </w:r>
          </w:p>
        </w:tc>
        <w:tc>
          <w:tcPr>
            <w:tcW w:w="0" w:type="dxa"/>
            <w:vAlign w:val="bottom"/>
          </w:tcPr>
          <w:p>
            <w:pPr>
              <w:spacing w:after="0"/>
              <w:rPr>
                <w:sz w:val="1"/>
                <w:szCs w:val="1"/>
                <w:color w:val="auto"/>
              </w:rPr>
            </w:pPr>
          </w:p>
        </w:tc>
      </w:tr>
      <w:tr>
        <w:trPr>
          <w:trHeight w:val="375"/>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Certificate of Incorporation</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02/09/2021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3.1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3.2</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Bylaws</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02/09/2021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3.2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Reference is made to Exhibits 3.1 through 3.2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Common Stock Certificate</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01/28/2021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4.2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4.3</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Securities Registered Pursuant to Section 12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the Securities Exchange Act of 1934, as amended</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4.4</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Pre-Funded Warrant</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02/08/2024</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4.1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4.5</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Pre-Funded Warrant</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08/07/2025</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4.1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Indemnification and Advancement Agreement for</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directors and officers</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01/28/2021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10.2(a)#</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2018 Equity Incentive Plan, as amended</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11/08/2021</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10.3(a)</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10.2(b)#</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Amendment to 2018 Equity Incentive Plan, dated as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November 9, 2020</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10.3(b)</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10.2(c)#</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Third Amendment to 2018 Equity Incentive Plan, dated as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December 4, 2020</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10.3(c)</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10.2(d)#</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Fourth Amendment to 2018 Equity Incentive Plan, dated as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December 8, 2021</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03/16/2022</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10.3(d)</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10.2(e)#</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Stock Option Grant Notice and Stock Option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under 2018 Equity Incentive Plan</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01/13/2021</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10.3(d)</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10.3(a)#</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2021 Incentive Award Plan</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S-8</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05/08/2024</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99.1(a)</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10.3(b)#</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First Amendment to 2021 Incentive Award Plan, dated as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December 8, 2021</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03/16/2022</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10.4(b)</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10.3(c)#</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Stock Option Grant Notice and Stock Option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under the 2021 Incentive Award Plan</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01/28/2021</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10.4(b)</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10.3(d)#</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Stock Option Grant Notice and Stock Option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under the 2021 Incentive Award Plan</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03/16/2022</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10.4(d)</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10.3(e)#</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Form of Restricted Stock Award Grant Notice and Restricted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Stock Award Agreement under the 2021 Incentive Award Plan</w:t>
            </w:r>
          </w:p>
        </w:tc>
        <w:tc>
          <w:tcPr>
            <w:tcW w:w="120" w:type="dxa"/>
            <w:vAlign w:val="bottom"/>
          </w:tcPr>
          <w:p>
            <w:pPr>
              <w:spacing w:after="0"/>
              <w:rPr>
                <w:sz w:val="23"/>
                <w:szCs w:val="2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01/28/2021</w:t>
            </w:r>
          </w:p>
        </w:tc>
        <w:tc>
          <w:tcPr>
            <w:tcW w:w="120" w:type="dxa"/>
            <w:vAlign w:val="bottom"/>
          </w:tcPr>
          <w:p>
            <w:pPr>
              <w:spacing w:after="0"/>
              <w:rPr>
                <w:sz w:val="23"/>
                <w:szCs w:val="23"/>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10.4(c)</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179</w:t>
      </w:r>
    </w:p>
    <w:p>
      <w:pPr>
        <w:sectPr>
          <w:pgSz w:w="11880" w:h="15480" w:orient="portrait"/>
          <w:cols w:equalWidth="0" w:num="1">
            <w:col w:w="10800"/>
          </w:cols>
          <w:pgMar w:left="540" w:top="746" w:right="540" w:bottom="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Exhibit</w:t>
            </w:r>
          </w:p>
        </w:tc>
        <w:tc>
          <w:tcPr>
            <w:tcW w:w="1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231F20"/>
            </w:tcBorders>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Incorporated by Reference</w:t>
            </w:r>
          </w:p>
        </w:tc>
        <w:tc>
          <w:tcPr>
            <w:tcW w:w="120" w:type="dxa"/>
            <w:vAlign w:val="bottom"/>
          </w:tcPr>
          <w:p>
            <w:pPr>
              <w:spacing w:after="0"/>
              <w:rPr>
                <w:sz w:val="22"/>
                <w:szCs w:val="22"/>
                <w:color w:val="auto"/>
              </w:rPr>
            </w:pPr>
          </w:p>
        </w:tc>
        <w:tc>
          <w:tcPr>
            <w:tcW w:w="1100" w:type="dxa"/>
            <w:vAlign w:val="bottom"/>
            <w:vMerge w:val="restart"/>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rPr>
              <w:t>Filed</w:t>
            </w:r>
          </w:p>
        </w:tc>
        <w:tc>
          <w:tcPr>
            <w:tcW w:w="0" w:type="dxa"/>
            <w:vAlign w:val="bottom"/>
          </w:tcPr>
          <w:p>
            <w:pPr>
              <w:spacing w:after="0"/>
              <w:rPr>
                <w:sz w:val="1"/>
                <w:szCs w:val="1"/>
                <w:color w:val="auto"/>
              </w:rPr>
            </w:pPr>
          </w:p>
        </w:tc>
      </w:tr>
      <w:tr>
        <w:trPr>
          <w:trHeight w:val="197"/>
        </w:trPr>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5060" w:type="dxa"/>
            <w:vAlign w:val="bottom"/>
            <w:tcBorders>
              <w:bottom w:val="single" w:sz="8" w:color="231F20"/>
            </w:tcBorders>
          </w:tcPr>
          <w:p>
            <w:pPr>
              <w:ind w:left="1700"/>
              <w:spacing w:after="0"/>
              <w:rPr>
                <w:sz w:val="20"/>
                <w:szCs w:val="20"/>
                <w:color w:val="auto"/>
              </w:rPr>
            </w:pPr>
            <w:r>
              <w:rPr>
                <w:rFonts w:ascii="Times New Roman" w:cs="Times New Roman" w:eastAsia="Times New Roman" w:hAnsi="Times New Roman"/>
                <w:sz w:val="20"/>
                <w:szCs w:val="20"/>
                <w:b w:val="1"/>
                <w:bCs w:val="1"/>
                <w:color w:val="231F20"/>
              </w:rPr>
              <w:t>Exhibit Description</w:t>
            </w:r>
          </w:p>
        </w:tc>
        <w:tc>
          <w:tcPr>
            <w:tcW w:w="120" w:type="dxa"/>
            <w:vAlign w:val="bottom"/>
          </w:tcPr>
          <w:p>
            <w:pPr>
              <w:spacing w:after="0"/>
              <w:rPr>
                <w:sz w:val="22"/>
                <w:szCs w:val="22"/>
                <w:color w:val="auto"/>
              </w:rPr>
            </w:pPr>
          </w:p>
        </w:tc>
        <w:tc>
          <w:tcPr>
            <w:tcW w:w="76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Form</w:t>
            </w:r>
          </w:p>
        </w:tc>
        <w:tc>
          <w:tcPr>
            <w:tcW w:w="100" w:type="dxa"/>
            <w:vAlign w:val="bottom"/>
          </w:tcPr>
          <w:p>
            <w:pPr>
              <w:spacing w:after="0"/>
              <w:rPr>
                <w:sz w:val="22"/>
                <w:szCs w:val="22"/>
                <w:color w:val="auto"/>
              </w:rPr>
            </w:pPr>
          </w:p>
        </w:tc>
        <w:tc>
          <w:tcPr>
            <w:tcW w:w="140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b w:val="1"/>
                <w:bCs w:val="1"/>
                <w:color w:val="231F20"/>
              </w:rPr>
              <w:t>Date</w:t>
            </w:r>
          </w:p>
        </w:tc>
        <w:tc>
          <w:tcPr>
            <w:tcW w:w="120" w:type="dxa"/>
            <w:vAlign w:val="bottom"/>
          </w:tcPr>
          <w:p>
            <w:pPr>
              <w:spacing w:after="0"/>
              <w:rPr>
                <w:sz w:val="22"/>
                <w:szCs w:val="22"/>
                <w:color w:val="auto"/>
              </w:rPr>
            </w:pPr>
          </w:p>
        </w:tc>
        <w:tc>
          <w:tcPr>
            <w:tcW w:w="1040" w:type="dxa"/>
            <w:vAlign w:val="bottom"/>
            <w:tcBorders>
              <w:bottom w:val="single" w:sz="8" w:color="231F20"/>
            </w:tcBorders>
          </w:tcPr>
          <w:p>
            <w:pPr>
              <w:ind w:left="240"/>
              <w:spacing w:after="0"/>
              <w:rPr>
                <w:sz w:val="20"/>
                <w:szCs w:val="20"/>
                <w:color w:val="auto"/>
              </w:rPr>
            </w:pPr>
            <w:r>
              <w:rPr>
                <w:rFonts w:ascii="Times New Roman" w:cs="Times New Roman" w:eastAsia="Times New Roman" w:hAnsi="Times New Roman"/>
                <w:sz w:val="20"/>
                <w:szCs w:val="20"/>
                <w:b w:val="1"/>
                <w:bCs w:val="1"/>
                <w:color w:val="231F20"/>
              </w:rPr>
              <w:t>Number</w:t>
            </w:r>
          </w:p>
        </w:tc>
        <w:tc>
          <w:tcPr>
            <w:tcW w:w="120" w:type="dxa"/>
            <w:vAlign w:val="bottom"/>
          </w:tcPr>
          <w:p>
            <w:pPr>
              <w:spacing w:after="0"/>
              <w:rPr>
                <w:sz w:val="22"/>
                <w:szCs w:val="22"/>
                <w:color w:val="auto"/>
              </w:rPr>
            </w:pPr>
          </w:p>
        </w:tc>
        <w:tc>
          <w:tcPr>
            <w:tcW w:w="1100" w:type="dxa"/>
            <w:vAlign w:val="bottom"/>
            <w:tcBorders>
              <w:bottom w:val="single" w:sz="8" w:color="231F20"/>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9"/>
              </w:rPr>
              <w:t>Herewith</w:t>
            </w:r>
          </w:p>
        </w:tc>
        <w:tc>
          <w:tcPr>
            <w:tcW w:w="0" w:type="dxa"/>
            <w:vAlign w:val="bottom"/>
          </w:tcPr>
          <w:p>
            <w:pPr>
              <w:spacing w:after="0"/>
              <w:rPr>
                <w:sz w:val="1"/>
                <w:szCs w:val="1"/>
                <w:color w:val="auto"/>
              </w:rPr>
            </w:pPr>
          </w:p>
        </w:tc>
      </w:tr>
    </w:tbl>
    <w:p>
      <w:pPr>
        <w:spacing w:after="0" w:line="114" w:lineRule="exact"/>
        <w:rPr>
          <w:sz w:val="20"/>
          <w:szCs w:val="20"/>
          <w:color w:val="auto"/>
        </w:rPr>
      </w:pPr>
    </w:p>
    <w:p>
      <w:pPr>
        <w:sectPr>
          <w:pgSz w:w="11880" w:h="15480" w:orient="portrait"/>
          <w:cols w:equalWidth="0" w:num="1">
            <w:col w:w="10800"/>
          </w:cols>
          <w:pgMar w:left="540" w:top="746" w:right="540" w:bottom="0" w:gutter="0" w:footer="0" w:header="0"/>
        </w:sectPr>
      </w:pPr>
    </w:p>
    <w:tbl>
      <w:tblPr>
        <w:tblLayout w:type="fixed"/>
        <w:tblInd w:w="40" w:type="dxa"/>
        <w:tblCellMar>
          <w:top w:w="0" w:type="dxa"/>
          <w:left w:w="0" w:type="dxa"/>
          <w:bottom w:w="0" w:type="dxa"/>
          <w:right w:w="0" w:type="dxa"/>
        </w:tblCellMar>
      </w:tblP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10.3(f)#</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Form of Restricted Stock Unit Award Grant Notice and</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Restricted Stock Unit Award Agreement under the 2021</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Incentive Award Plan</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01/28/2021</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9"/>
              </w:rPr>
              <w:t>10.4(d)</w:t>
            </w:r>
          </w:p>
        </w:tc>
      </w:tr>
      <w:tr>
        <w:trPr>
          <w:trHeight w:val="368"/>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10.4(a)#</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2021 Employee Stock Purchase Plan</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S-8</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05/08/2024</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99.2(a)</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10.4(b)#</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Amendment No. 1 to the 2021 Employee Stock Purchase Plan,</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dated as of October 27, 2022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11/02/2022</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10.11</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Offer Letter and Employment Agreement by and between the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Company and Steven D. Harr, M.D., dated as of September 27,</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2018</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10.6</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Offer Letter and Employment Agreement by and between the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Company and Nathan Hardy, dated as of October 8, 2018</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10.9</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10.7#</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Offer Letter by and between the Company and Bernard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Cassidy, dated as of September 8, 2022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11/02/2022</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rPr>
              <w:t>10.10</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10.8#</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Consulting Agreement by and between the Company and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Bernard J. Cassidy, dated as of October 19, 2025</w:t>
            </w:r>
          </w:p>
        </w:tc>
        <w:tc>
          <w:tcPr>
            <w:tcW w:w="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68"/>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10.9#</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Non-Employee Director Compensation Program</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10.10#</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Offer Letter by and between the Company and Douglas 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Williams, dated as of April 8,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05/08/2023</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10.11#</w:t>
            </w:r>
            <w:r>
              <w:rPr>
                <w:rFonts w:ascii="Times New Roman" w:cs="Times New Roman" w:eastAsia="Times New Roman" w:hAnsi="Times New Roman"/>
                <w:sz w:val="19"/>
                <w:szCs w:val="19"/>
                <w:color w:val="231F20"/>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Separation, Transition Services, and General Release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Agreement by and between the Company and Douglas E.</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Williams, dated April 15,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08/08/2024</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10.12#</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Offer Letter by and between the Company and Brian Piper,</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dated as of January 27, 2026</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02/17/2026</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10.13(a)†</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License Agreement by and between Flagship Pioneering</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Innovations V, Inc. (Flagship Innovations V) and Cobalt</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Biomedicine, Inc. (Cobalt), dated as of February 17, 2016</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231F20"/>
              </w:rPr>
              <w:t>10.12(a)</w:t>
            </w:r>
          </w:p>
        </w:tc>
      </w:tr>
      <w:tr>
        <w:trPr>
          <w:trHeight w:val="332"/>
        </w:trPr>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10.13(b)†</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First Amendment to License Agreement by and between</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Flagship Innovations V and Cobalt, dated as of February 14,</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2019</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231F20"/>
                <w:w w:val="99"/>
              </w:rPr>
              <w:t>10.12(b)</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10.14(a)†</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Patents Sub-License Agreement by and between La Societe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Pulsalys (Pulsalys) and Cobalt, dated as of August 16, 2018</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8"/>
              </w:rPr>
              <w:t>10.13(a)</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10.14(b)†</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Amendment No. 1 to Patents Sub-License Agreement by and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between the Company, Pulsalys and Cobalt, dated as of May</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26, 2020</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01/13/2021</w:t>
            </w:r>
          </w:p>
        </w:tc>
        <w:tc>
          <w:tcPr>
            <w:tcW w:w="96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231F20"/>
                <w:w w:val="99"/>
              </w:rPr>
              <w:t>10.13(b)</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10.14(c)†</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Amendment No. 2 to Patents Sub-License Agreement by and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between the Company and Pulsalys, dated as of March 9, 2022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11/02/2022</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10.14(d)†</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Amendment No. 3 to Patents Sub-License Agreement by and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between the Company and Pulsalys, dated as of July 31,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11/08/2023</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r>
      <w:tr>
        <w:trPr>
          <w:trHeight w:val="332"/>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10.14(e)†</w:t>
            </w: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Amendment No. 4 to Patents Sub-License Agreement by and</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between the Company and Pulsalys, dated as of October 1,</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6"/>
        </w:trPr>
        <w:tc>
          <w:tcPr>
            <w:tcW w:w="880" w:type="dxa"/>
            <w:vAlign w:val="bottom"/>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2024</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10-K</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03/17/2025</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231F20"/>
                <w:w w:val="98"/>
              </w:rPr>
              <w:t>10.14(e)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X</w:t>
      </w:r>
    </w:p>
    <w:p>
      <w:pPr>
        <w:spacing w:after="0" w:line="7366" w:lineRule="exact"/>
        <w:rPr>
          <w:sz w:val="20"/>
          <w:szCs w:val="20"/>
          <w:color w:val="auto"/>
        </w:rPr>
      </w:pPr>
    </w:p>
    <w:p>
      <w:pPr>
        <w:sectPr>
          <w:pgSz w:w="11880" w:h="15480" w:orient="portrait"/>
          <w:cols w:equalWidth="0" w:num="2">
            <w:col w:w="9520" w:space="720"/>
            <w:col w:w="560"/>
          </w:cols>
          <w:pgMar w:left="540" w:top="746"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180</w:t>
      </w:r>
    </w:p>
    <w:p>
      <w:pPr>
        <w:sectPr>
          <w:pgSz w:w="11880" w:h="15480" w:orient="portrait"/>
          <w:cols w:equalWidth="0" w:num="1">
            <w:col w:w="10800"/>
          </w:cols>
          <w:pgMar w:left="540" w:top="746" w:right="540" w:bottom="0" w:gutter="0" w:footer="0" w:header="0"/>
          <w:type w:val="continuous"/>
        </w:sectPr>
      </w:pPr>
    </w:p>
    <w:bookmarkStart w:id="186" w:name="page187"/>
    <w:bookmarkEnd w:id="186"/>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231F20"/>
        </w:rPr>
        <w:t>Exhibit</w:t>
      </w:r>
    </w:p>
    <w:p>
      <w:pPr>
        <w:spacing w:after="0" w:line="32" w:lineRule="exact"/>
        <w:rPr>
          <w:sz w:val="20"/>
          <w:szCs w:val="20"/>
          <w:color w:val="auto"/>
        </w:rPr>
      </w:pPr>
    </w:p>
    <w:p>
      <w:pPr>
        <w:ind w:left="40"/>
        <w:spacing w:after="0"/>
        <w:tabs>
          <w:tab w:leader="none" w:pos="2620" w:val="left"/>
        </w:tabs>
        <w:rPr>
          <w:sz w:val="20"/>
          <w:szCs w:val="20"/>
          <w:color w:val="auto"/>
        </w:rPr>
      </w:pPr>
      <w:r>
        <w:rPr>
          <w:rFonts w:ascii="Times New Roman" w:cs="Times New Roman" w:eastAsia="Times New Roman" w:hAnsi="Times New Roman"/>
          <w:sz w:val="20"/>
          <w:szCs w:val="20"/>
          <w:b w:val="1"/>
          <w:bCs w:val="1"/>
          <w:u w:val="single" w:color="auto"/>
          <w:color w:val="231F20"/>
        </w:rPr>
        <w:t>Number</w:t>
      </w:r>
      <w:r>
        <w:rPr>
          <w:sz w:val="20"/>
          <w:szCs w:val="20"/>
          <w:color w:val="auto"/>
        </w:rPr>
        <w:tab/>
      </w:r>
      <w:r>
        <w:rPr>
          <w:rFonts w:ascii="Times New Roman" w:cs="Times New Roman" w:eastAsia="Times New Roman" w:hAnsi="Times New Roman"/>
          <w:sz w:val="20"/>
          <w:szCs w:val="20"/>
          <w:b w:val="1"/>
          <w:bCs w:val="1"/>
          <w:color w:val="231F20"/>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591820</wp:posOffset>
                </wp:positionH>
                <wp:positionV relativeFrom="paragraph">
                  <wp:posOffset>-1905</wp:posOffset>
                </wp:positionV>
                <wp:extent cx="322326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32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pt,-0.1499pt" to="300.4pt,-0.1499pt" o:allowincell="f" strokecolor="#231F20" strokeweight="0.5pt"/>
            </w:pict>
          </mc:Fallback>
        </mc:AlternateContent>
      </w:r>
    </w:p>
    <w:p>
      <w:pPr>
        <w:ind w:left="940" w:right="40" w:hanging="925"/>
        <w:spacing w:after="0" w:line="242" w:lineRule="auto"/>
        <w:tabs>
          <w:tab w:leader="none" w:pos="920" w:val="left"/>
        </w:tabs>
        <w:rPr>
          <w:sz w:val="20"/>
          <w:szCs w:val="20"/>
          <w:color w:val="auto"/>
        </w:rPr>
      </w:pPr>
      <w:r>
        <w:rPr>
          <w:rFonts w:ascii="Times New Roman" w:cs="Times New Roman" w:eastAsia="Times New Roman" w:hAnsi="Times New Roman"/>
          <w:sz w:val="20"/>
          <w:szCs w:val="20"/>
          <w:color w:val="231F20"/>
        </w:rPr>
        <w:t>10.15(a)†</w:t>
        <w:tab/>
        <w:t>Exclusive License Agreement by and between the Company and The Regents of the University of California (The Regents) acting through The Technology Development Group of the University of California, Los Angeles (UCLA), dated as of March 22, 2019</w:t>
      </w:r>
    </w:p>
    <w:p>
      <w:pPr>
        <w:spacing w:after="0" w:line="96" w:lineRule="exact"/>
        <w:rPr>
          <w:sz w:val="20"/>
          <w:szCs w:val="20"/>
          <w:color w:val="auto"/>
        </w:rPr>
      </w:pPr>
    </w:p>
    <w:p>
      <w:pPr>
        <w:ind w:left="940" w:right="200" w:hanging="931"/>
        <w:spacing w:after="0" w:line="252" w:lineRule="auto"/>
        <w:rPr>
          <w:sz w:val="20"/>
          <w:szCs w:val="20"/>
          <w:color w:val="auto"/>
        </w:rPr>
      </w:pPr>
      <w:r>
        <w:rPr>
          <w:rFonts w:ascii="Times New Roman" w:cs="Times New Roman" w:eastAsia="Times New Roman" w:hAnsi="Times New Roman"/>
          <w:sz w:val="20"/>
          <w:szCs w:val="20"/>
          <w:color w:val="231F20"/>
        </w:rPr>
        <w:t>10.15(b)† First Amendment to Exclusive License Agreement by and between the Company and The Regents acting through The Technology Development Group of UCLA, dated as of May 21, 2021</w:t>
      </w:r>
    </w:p>
    <w:p>
      <w:pPr>
        <w:spacing w:after="0" w:line="92" w:lineRule="exact"/>
        <w:rPr>
          <w:sz w:val="20"/>
          <w:szCs w:val="20"/>
          <w:color w:val="auto"/>
        </w:rPr>
      </w:pPr>
    </w:p>
    <w:p>
      <w:pPr>
        <w:ind w:left="940" w:right="160" w:hanging="925"/>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10.15(c)†</w:t>
        <w:tab/>
        <w:t>Second Amendment to Exclusive License Agreement by and between the Company and The Regents acting through The Technology Development Group of UCLA, dated as of April 22, 2024</w:t>
      </w:r>
    </w:p>
    <w:p>
      <w:pPr>
        <w:spacing w:after="0" w:line="92" w:lineRule="exact"/>
        <w:rPr>
          <w:sz w:val="20"/>
          <w:szCs w:val="20"/>
          <w:color w:val="auto"/>
        </w:rPr>
      </w:pPr>
    </w:p>
    <w:p>
      <w:pPr>
        <w:ind w:left="940" w:right="100" w:hanging="925"/>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10.16(a)†</w:t>
        <w:tab/>
        <w:t>License Agreement by and between the Company and President and Fellows of Harvard College (Harvard), dated as of March 19, 2019</w:t>
      </w:r>
    </w:p>
    <w:p>
      <w:pPr>
        <w:spacing w:after="0" w:line="86" w:lineRule="exact"/>
        <w:rPr>
          <w:sz w:val="20"/>
          <w:szCs w:val="20"/>
          <w:color w:val="auto"/>
        </w:rPr>
      </w:pPr>
    </w:p>
    <w:p>
      <w:pPr>
        <w:ind w:left="940" w:right="640" w:hanging="906"/>
        <w:spacing w:after="0" w:line="277" w:lineRule="auto"/>
        <w:rPr>
          <w:sz w:val="20"/>
          <w:szCs w:val="20"/>
          <w:color w:val="auto"/>
        </w:rPr>
      </w:pPr>
      <w:r>
        <w:rPr>
          <w:rFonts w:ascii="Times New Roman" w:cs="Times New Roman" w:eastAsia="Times New Roman" w:hAnsi="Times New Roman"/>
          <w:sz w:val="20"/>
          <w:szCs w:val="20"/>
          <w:color w:val="231F20"/>
        </w:rPr>
        <w:t>10.16(b)† Amendment to License Agreement by and between the Company and Harvard, dated as of June 10, 2019</w:t>
      </w:r>
    </w:p>
    <w:p>
      <w:pPr>
        <w:spacing w:after="0" w:line="67" w:lineRule="exact"/>
        <w:rPr>
          <w:sz w:val="20"/>
          <w:szCs w:val="20"/>
          <w:color w:val="auto"/>
        </w:rPr>
      </w:pPr>
    </w:p>
    <w:p>
      <w:pPr>
        <w:ind w:left="940" w:hanging="925"/>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t>10.16(c)†</w:t>
        <w:tab/>
        <w:t>Second Amendment to License Agreement by and between the Company and Harvard, dated as of December 15, 2020</w:t>
      </w:r>
    </w:p>
    <w:p>
      <w:pPr>
        <w:spacing w:after="0" w:line="67" w:lineRule="exact"/>
        <w:rPr>
          <w:sz w:val="20"/>
          <w:szCs w:val="20"/>
          <w:color w:val="auto"/>
        </w:rPr>
      </w:pPr>
    </w:p>
    <w:p>
      <w:pPr>
        <w:jc w:val="center"/>
        <w:ind w:right="140"/>
        <w:spacing w:after="0" w:line="277" w:lineRule="auto"/>
        <w:rPr>
          <w:sz w:val="20"/>
          <w:szCs w:val="20"/>
          <w:color w:val="auto"/>
        </w:rPr>
      </w:pPr>
      <w:r>
        <w:rPr>
          <w:rFonts w:ascii="Times New Roman" w:cs="Times New Roman" w:eastAsia="Times New Roman" w:hAnsi="Times New Roman"/>
          <w:sz w:val="20"/>
          <w:szCs w:val="20"/>
          <w:color w:val="231F20"/>
        </w:rPr>
        <w:t>10.16(d)†  Third Amendment to License Agreement by and between the Company and Harvard, dated as of May 20, 2021</w:t>
      </w:r>
    </w:p>
    <w:p>
      <w:pPr>
        <w:spacing w:after="0" w:line="67" w:lineRule="exact"/>
        <w:rPr>
          <w:sz w:val="20"/>
          <w:szCs w:val="20"/>
          <w:color w:val="auto"/>
        </w:rPr>
      </w:pPr>
    </w:p>
    <w:p>
      <w:pPr>
        <w:ind w:left="940" w:right="60" w:hanging="925"/>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t>10.16(e)†</w:t>
        <w:tab/>
        <w:t>Fourth Amendment to License Agreement by and between the Company and Harvard, dated as of October 25, 2021</w:t>
      </w:r>
    </w:p>
    <w:p>
      <w:pPr>
        <w:spacing w:after="0" w:line="67" w:lineRule="exact"/>
        <w:rPr>
          <w:sz w:val="20"/>
          <w:szCs w:val="20"/>
          <w:color w:val="auto"/>
        </w:rPr>
      </w:pPr>
    </w:p>
    <w:p>
      <w:pPr>
        <w:ind w:left="940" w:right="200" w:hanging="914"/>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t>10.16(f)†</w:t>
        <w:tab/>
        <w:t>Fifth Amendment to License Agreement by and between the Company and Harvard, dated as of February 9, 2023</w:t>
      </w:r>
    </w:p>
    <w:p>
      <w:pPr>
        <w:spacing w:after="0" w:line="67" w:lineRule="exact"/>
        <w:rPr>
          <w:sz w:val="20"/>
          <w:szCs w:val="20"/>
          <w:color w:val="auto"/>
        </w:rPr>
      </w:pPr>
    </w:p>
    <w:p>
      <w:pPr>
        <w:ind w:left="940" w:right="160" w:hanging="931"/>
        <w:spacing w:after="0" w:line="277" w:lineRule="auto"/>
        <w:rPr>
          <w:sz w:val="20"/>
          <w:szCs w:val="20"/>
          <w:color w:val="auto"/>
        </w:rPr>
      </w:pPr>
      <w:r>
        <w:rPr>
          <w:rFonts w:ascii="Times New Roman" w:cs="Times New Roman" w:eastAsia="Times New Roman" w:hAnsi="Times New Roman"/>
          <w:sz w:val="20"/>
          <w:szCs w:val="20"/>
          <w:color w:val="231F20"/>
        </w:rPr>
        <w:t>10.16(g)† Sixth Amendment to License Agreement by and between the Company and Harvard, dated as of August 28, 2024</w:t>
      </w:r>
    </w:p>
    <w:p>
      <w:pPr>
        <w:spacing w:after="0" w:line="67" w:lineRule="exact"/>
        <w:rPr>
          <w:sz w:val="20"/>
          <w:szCs w:val="20"/>
          <w:color w:val="auto"/>
        </w:rPr>
      </w:pPr>
    </w:p>
    <w:p>
      <w:pPr>
        <w:ind w:left="940" w:right="240" w:hanging="931"/>
        <w:spacing w:after="0" w:line="277" w:lineRule="auto"/>
        <w:rPr>
          <w:sz w:val="20"/>
          <w:szCs w:val="20"/>
          <w:color w:val="auto"/>
        </w:rPr>
      </w:pPr>
      <w:r>
        <w:rPr>
          <w:rFonts w:ascii="Times New Roman" w:cs="Times New Roman" w:eastAsia="Times New Roman" w:hAnsi="Times New Roman"/>
          <w:sz w:val="20"/>
          <w:szCs w:val="20"/>
          <w:color w:val="231F20"/>
        </w:rPr>
        <w:t>10.16(h)† Seventh Amendment to License Agreement by and between the Company and Harvard, dated as of March 19, 2025</w:t>
      </w:r>
    </w:p>
    <w:p>
      <w:pPr>
        <w:spacing w:after="0" w:line="67" w:lineRule="exact"/>
        <w:rPr>
          <w:sz w:val="20"/>
          <w:szCs w:val="20"/>
          <w:color w:val="auto"/>
        </w:rPr>
      </w:pPr>
    </w:p>
    <w:p>
      <w:pPr>
        <w:ind w:left="940" w:right="60" w:hanging="925"/>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10.17(a)†</w:t>
        <w:tab/>
        <w:t>Exclusive License Agreement by and between the Company and The Regents, acting through its Office of Technology Management, University of California San Francisco (UCSF), dated as of January 2, 2019</w:t>
      </w:r>
    </w:p>
    <w:p>
      <w:pPr>
        <w:spacing w:after="0" w:line="92" w:lineRule="exact"/>
        <w:rPr>
          <w:sz w:val="20"/>
          <w:szCs w:val="20"/>
          <w:color w:val="auto"/>
        </w:rPr>
      </w:pPr>
    </w:p>
    <w:p>
      <w:pPr>
        <w:jc w:val="both"/>
        <w:ind w:left="940" w:right="320" w:hanging="931"/>
        <w:spacing w:after="0" w:line="258" w:lineRule="auto"/>
        <w:rPr>
          <w:sz w:val="20"/>
          <w:szCs w:val="20"/>
          <w:color w:val="auto"/>
        </w:rPr>
      </w:pPr>
      <w:r>
        <w:rPr>
          <w:rFonts w:ascii="Times New Roman" w:cs="Times New Roman" w:eastAsia="Times New Roman" w:hAnsi="Times New Roman"/>
          <w:sz w:val="20"/>
          <w:szCs w:val="20"/>
          <w:color w:val="231F20"/>
        </w:rPr>
        <w:t>10.17(b)† Amendment No. 1 to Exclusive License Agreement by and between the Company and UCSF, dated as of December 3, 2020</w:t>
      </w:r>
    </w:p>
    <w:p>
      <w:pPr>
        <w:spacing w:after="0" w:line="86" w:lineRule="exact"/>
        <w:rPr>
          <w:sz w:val="20"/>
          <w:szCs w:val="20"/>
          <w:color w:val="auto"/>
        </w:rPr>
      </w:pPr>
    </w:p>
    <w:p>
      <w:pPr>
        <w:jc w:val="right"/>
        <w:ind w:left="120" w:right="220"/>
        <w:spacing w:after="0" w:line="277" w:lineRule="auto"/>
        <w:rPr>
          <w:sz w:val="20"/>
          <w:szCs w:val="20"/>
          <w:color w:val="auto"/>
        </w:rPr>
      </w:pPr>
      <w:r>
        <w:rPr>
          <w:rFonts w:ascii="Times New Roman" w:cs="Times New Roman" w:eastAsia="Times New Roman" w:hAnsi="Times New Roman"/>
          <w:sz w:val="20"/>
          <w:szCs w:val="20"/>
          <w:color w:val="231F20"/>
        </w:rPr>
        <w:t>10.18†   Exclusive License Agreement by and between the Company and Washington University, dated as of November 14, 2019</w:t>
      </w:r>
    </w:p>
    <w:p>
      <w:pPr>
        <w:spacing w:after="0" w:line="67" w:lineRule="exact"/>
        <w:rPr>
          <w:sz w:val="20"/>
          <w:szCs w:val="20"/>
          <w:color w:val="auto"/>
        </w:rPr>
      </w:pPr>
    </w:p>
    <w:p>
      <w:pPr>
        <w:ind w:left="940" w:right="220" w:hanging="814"/>
        <w:spacing w:after="0" w:line="305" w:lineRule="auto"/>
        <w:tabs>
          <w:tab w:leader="none" w:pos="92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19"/>
          <w:szCs w:val="19"/>
          <w:color w:val="231F20"/>
        </w:rPr>
        <w:t>Exclusive License Agreement by and between the Company and Washington University, dated as of September 1, 2020</w:t>
      </w:r>
    </w:p>
    <w:p>
      <w:pPr>
        <w:spacing w:after="0" w:line="43" w:lineRule="exact"/>
        <w:rPr>
          <w:sz w:val="20"/>
          <w:szCs w:val="20"/>
          <w:color w:val="auto"/>
        </w:rPr>
      </w:pPr>
    </w:p>
    <w:p>
      <w:pPr>
        <w:jc w:val="both"/>
        <w:ind w:left="940" w:right="120" w:hanging="925"/>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10.20(a)†</w:t>
        <w:tab/>
        <w:t>Option and License Agreement by and between the Company and Beam Therapeutics Inc. (Beam), dated as of October 15, 2021</w:t>
      </w:r>
    </w:p>
    <w:p>
      <w:pPr>
        <w:spacing w:after="0" w:line="86" w:lineRule="exact"/>
        <w:rPr>
          <w:sz w:val="20"/>
          <w:szCs w:val="20"/>
          <w:color w:val="auto"/>
        </w:rPr>
      </w:pPr>
    </w:p>
    <w:p>
      <w:pPr>
        <w:ind w:left="940" w:right="220" w:hanging="931"/>
        <w:spacing w:after="0" w:line="277" w:lineRule="auto"/>
        <w:rPr>
          <w:sz w:val="20"/>
          <w:szCs w:val="20"/>
          <w:color w:val="auto"/>
        </w:rPr>
      </w:pPr>
      <w:r>
        <w:rPr>
          <w:rFonts w:ascii="Times New Roman" w:cs="Times New Roman" w:eastAsia="Times New Roman" w:hAnsi="Times New Roman"/>
          <w:sz w:val="20"/>
          <w:szCs w:val="20"/>
          <w:color w:val="231F20"/>
        </w:rPr>
        <w:t>10.20(b)† Amendment No. 1 to Option and License Agreement by and between the Company and Beam, dated as of June 6,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231F20"/>
            </w:tcBorders>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Incorporated by Reference</w:t>
            </w:r>
          </w:p>
        </w:tc>
        <w:tc>
          <w:tcPr>
            <w:tcW w:w="120" w:type="dxa"/>
            <w:vAlign w:val="bottom"/>
          </w:tcPr>
          <w:p>
            <w:pPr>
              <w:spacing w:after="0"/>
              <w:rPr>
                <w:sz w:val="22"/>
                <w:szCs w:val="22"/>
                <w:color w:val="auto"/>
              </w:rPr>
            </w:pPr>
          </w:p>
        </w:tc>
        <w:tc>
          <w:tcPr>
            <w:tcW w:w="1100" w:type="dxa"/>
            <w:vAlign w:val="bottom"/>
            <w:vMerge w:val="restart"/>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rPr>
              <w:t>Filed</w:t>
            </w: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231F20"/>
            </w:tcBorders>
          </w:tcPr>
          <w:p>
            <w:pPr>
              <w:jc w:val="center"/>
              <w:ind w:left="20"/>
              <w:spacing w:after="0"/>
              <w:rPr>
                <w:sz w:val="20"/>
                <w:szCs w:val="20"/>
                <w:color w:val="auto"/>
              </w:rPr>
            </w:pPr>
            <w:r>
              <w:rPr>
                <w:rFonts w:ascii="Times New Roman" w:cs="Times New Roman" w:eastAsia="Times New Roman" w:hAnsi="Times New Roman"/>
                <w:sz w:val="20"/>
                <w:szCs w:val="20"/>
                <w:b w:val="1"/>
                <w:bCs w:val="1"/>
                <w:color w:val="231F20"/>
              </w:rPr>
              <w:t>Form</w:t>
            </w:r>
          </w:p>
        </w:tc>
        <w:tc>
          <w:tcPr>
            <w:tcW w:w="100" w:type="dxa"/>
            <w:vAlign w:val="bottom"/>
          </w:tcPr>
          <w:p>
            <w:pPr>
              <w:spacing w:after="0"/>
              <w:rPr>
                <w:sz w:val="22"/>
                <w:szCs w:val="22"/>
                <w:color w:val="auto"/>
              </w:rPr>
            </w:pPr>
          </w:p>
        </w:tc>
        <w:tc>
          <w:tcPr>
            <w:tcW w:w="1400" w:type="dxa"/>
            <w:vAlign w:val="bottom"/>
            <w:tcBorders>
              <w:bottom w:val="single" w:sz="8" w:color="231F20"/>
            </w:tcBorders>
          </w:tcPr>
          <w:p>
            <w:pPr>
              <w:jc w:val="center"/>
              <w:ind w:left="60"/>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120" w:type="dxa"/>
            <w:vAlign w:val="bottom"/>
          </w:tcPr>
          <w:p>
            <w:pPr>
              <w:spacing w:after="0"/>
              <w:rPr>
                <w:sz w:val="22"/>
                <w:szCs w:val="22"/>
                <w:color w:val="auto"/>
              </w:rPr>
            </w:pPr>
          </w:p>
        </w:tc>
        <w:tc>
          <w:tcPr>
            <w:tcW w:w="1040" w:type="dxa"/>
            <w:vAlign w:val="bottom"/>
            <w:tcBorders>
              <w:bottom w:val="single" w:sz="8" w:color="231F20"/>
            </w:tcBorders>
          </w:tcPr>
          <w:p>
            <w:pPr>
              <w:ind w:left="240"/>
              <w:spacing w:after="0"/>
              <w:rPr>
                <w:sz w:val="20"/>
                <w:szCs w:val="20"/>
                <w:color w:val="auto"/>
              </w:rPr>
            </w:pPr>
            <w:r>
              <w:rPr>
                <w:rFonts w:ascii="Times New Roman" w:cs="Times New Roman" w:eastAsia="Times New Roman" w:hAnsi="Times New Roman"/>
                <w:sz w:val="20"/>
                <w:szCs w:val="20"/>
                <w:b w:val="1"/>
                <w:bCs w:val="1"/>
                <w:color w:val="231F20"/>
              </w:rPr>
              <w:t>Number</w:t>
            </w:r>
          </w:p>
        </w:tc>
        <w:tc>
          <w:tcPr>
            <w:tcW w:w="120" w:type="dxa"/>
            <w:vAlign w:val="bottom"/>
          </w:tcPr>
          <w:p>
            <w:pPr>
              <w:spacing w:after="0"/>
              <w:rPr>
                <w:sz w:val="22"/>
                <w:szCs w:val="22"/>
                <w:color w:val="auto"/>
              </w:rPr>
            </w:pPr>
          </w:p>
        </w:tc>
        <w:tc>
          <w:tcPr>
            <w:tcW w:w="1100" w:type="dxa"/>
            <w:vAlign w:val="bottom"/>
            <w:tcBorders>
              <w:bottom w:val="single" w:sz="8" w:color="231F20"/>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9"/>
              </w:rPr>
              <w:t>Herewith</w:t>
            </w:r>
          </w:p>
        </w:tc>
        <w:tc>
          <w:tcPr>
            <w:tcW w:w="0" w:type="dxa"/>
            <w:vAlign w:val="bottom"/>
          </w:tcPr>
          <w:p>
            <w:pPr>
              <w:spacing w:after="0"/>
              <w:rPr>
                <w:sz w:val="1"/>
                <w:szCs w:val="1"/>
                <w:color w:val="auto"/>
              </w:rPr>
            </w:pPr>
          </w:p>
        </w:tc>
      </w:tr>
      <w:tr>
        <w:trPr>
          <w:trHeight w:val="1152"/>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10.14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02/29/2024</w:t>
            </w:r>
          </w:p>
        </w:tc>
        <w:tc>
          <w:tcPr>
            <w:tcW w:w="12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10.16(b)</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08/08/2024</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10.15(a)</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4"/>
                <w:szCs w:val="24"/>
                <w:color w:val="auto"/>
              </w:rPr>
            </w:pPr>
          </w:p>
        </w:tc>
        <w:tc>
          <w:tcPr>
            <w:tcW w:w="104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10.15(b)</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01/13/2021</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10.15(c)</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03/16/2022</w:t>
            </w:r>
          </w:p>
        </w:tc>
        <w:tc>
          <w:tcPr>
            <w:tcW w:w="120" w:type="dxa"/>
            <w:vAlign w:val="bottom"/>
          </w:tcPr>
          <w:p>
            <w:pPr>
              <w:spacing w:after="0"/>
              <w:rPr>
                <w:sz w:val="24"/>
                <w:szCs w:val="24"/>
                <w:color w:val="auto"/>
              </w:rPr>
            </w:pPr>
          </w:p>
        </w:tc>
        <w:tc>
          <w:tcPr>
            <w:tcW w:w="104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10.15(d)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03/16/2022</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10.15(e)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10-K</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03/16/2023</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10.16(f)</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11/08/2024</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7"/>
              </w:rPr>
              <w:t>10-Q</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08/11/2025</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4"/>
                <w:szCs w:val="24"/>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10.16(a)</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01/13/2021</w:t>
            </w:r>
          </w:p>
        </w:tc>
        <w:tc>
          <w:tcPr>
            <w:tcW w:w="120" w:type="dxa"/>
            <w:vAlign w:val="bottom"/>
          </w:tcPr>
          <w:p>
            <w:pPr>
              <w:spacing w:after="0"/>
              <w:rPr>
                <w:sz w:val="24"/>
                <w:szCs w:val="24"/>
                <w:color w:val="auto"/>
              </w:rPr>
            </w:pPr>
          </w:p>
        </w:tc>
        <w:tc>
          <w:tcPr>
            <w:tcW w:w="104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w w:val="99"/>
              </w:rPr>
              <w:t>10.16(b)</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01/13/2021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10.17</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rPr>
              <w:t>S-1</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231F20"/>
              </w:rPr>
              <w:t>01/13/2021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rPr>
              <w:t>10.18</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11/08/2021</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08/04/2022</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ectPr>
          <w:pgSz w:w="11880" w:h="15480" w:orient="portrait"/>
          <w:cols w:equalWidth="0" w:num="2">
            <w:col w:w="5980" w:space="140"/>
            <w:col w:w="4640"/>
          </w:cols>
          <w:pgMar w:left="580" w:top="746" w:right="540" w:bottom="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181</w:t>
      </w:r>
    </w:p>
    <w:p>
      <w:pPr>
        <w:sectPr>
          <w:pgSz w:w="11880" w:h="15480" w:orient="portrait"/>
          <w:cols w:equalWidth="0" w:num="1">
            <w:col w:w="10760"/>
          </w:cols>
          <w:pgMar w:left="580" w:top="746" w:right="540" w:bottom="0" w:gutter="0" w:footer="0" w:header="0"/>
          <w:type w:val="continuous"/>
        </w:sectPr>
      </w:pPr>
    </w:p>
    <w:bookmarkStart w:id="187" w:name="page188"/>
    <w:bookmarkEnd w:id="187"/>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Exhibit</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25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5060" w:type="dxa"/>
            <w:vAlign w:val="bottom"/>
            <w:tcBorders>
              <w:bottom w:val="single" w:sz="8" w:color="231F20"/>
            </w:tcBorders>
          </w:tcPr>
          <w:p>
            <w:pPr>
              <w:ind w:left="1700"/>
              <w:spacing w:after="0"/>
              <w:rPr>
                <w:sz w:val="20"/>
                <w:szCs w:val="20"/>
                <w:color w:val="auto"/>
              </w:rPr>
            </w:pPr>
            <w:r>
              <w:rPr>
                <w:rFonts w:ascii="Times New Roman" w:cs="Times New Roman" w:eastAsia="Times New Roman" w:hAnsi="Times New Roman"/>
                <w:sz w:val="20"/>
                <w:szCs w:val="20"/>
                <w:b w:val="1"/>
                <w:bCs w:val="1"/>
                <w:color w:val="231F20"/>
              </w:rPr>
              <w:t>Exhibit Description</w:t>
            </w:r>
          </w:p>
        </w:tc>
      </w:tr>
      <w:tr>
        <w:trPr>
          <w:trHeight w:val="201"/>
        </w:trPr>
        <w:tc>
          <w:tcPr>
            <w:tcW w:w="8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231F20"/>
              </w:rPr>
              <w:t>10.20(c)†</w:t>
            </w:r>
          </w:p>
        </w:tc>
        <w:tc>
          <w:tcPr>
            <w:tcW w:w="1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231F20"/>
              </w:rPr>
              <w:t>Amendment No. 2 to Option and License Agreement by and</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between the Company and Beam, dated as of July 19, 2022</w:t>
            </w:r>
          </w:p>
        </w:tc>
      </w:tr>
      <w:tr>
        <w:trPr>
          <w:trHeight w:val="327"/>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10.20(d)†</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3 to Option and License Agreement by and</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between the Company and Beam, dated as of March 17, 2023</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10.20(e)†</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4 to Option and License Agreement by and</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between the Company and Beam, dated as of April 4, 2024</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10.20(f)†</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5 to Option and License Agreement by and</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between the Company and Beam, dated as of October 15, 2024</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Patent License Agreement by and between the Company and</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the U.S. Department of Health and Human Services, as</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represented by The National Cancer Institution, an institute of</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the National Institutes of Health, dated as of January 7, 2022</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10.22(a)†</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Non-Exclusive License and Development Agreement by and</w:t>
            </w:r>
          </w:p>
        </w:tc>
      </w:tr>
      <w:tr>
        <w:trPr>
          <w:trHeight w:val="230"/>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between the Company and Fujifilm Cellular Dynamics, Inc.</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(FCDI), dated as of February 1, 2021</w:t>
            </w:r>
          </w:p>
        </w:tc>
      </w:tr>
      <w:tr>
        <w:trPr>
          <w:trHeight w:val="331"/>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10.22(b)†</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Amendment No. 1 to Non-Exclusive License and Development</w:t>
            </w:r>
          </w:p>
        </w:tc>
      </w:tr>
      <w:tr>
        <w:trPr>
          <w:trHeight w:val="23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by and between the Company and FCDI, dated as</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of April 12, 2021</w:t>
            </w:r>
          </w:p>
        </w:tc>
      </w:tr>
      <w:tr>
        <w:trPr>
          <w:trHeight w:val="331"/>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10.22(c)†</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Amendment No. 2 to Non-Exclusive License and Development</w:t>
            </w:r>
          </w:p>
        </w:tc>
      </w:tr>
      <w:tr>
        <w:trPr>
          <w:trHeight w:val="23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by and between the Company and FCDI, dated as</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of October 26, 2021</w:t>
            </w:r>
          </w:p>
        </w:tc>
      </w:tr>
      <w:tr>
        <w:trPr>
          <w:trHeight w:val="331"/>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10.22(d)†</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Amendment No. 3 to Non-Exclusive License and Development</w:t>
            </w:r>
          </w:p>
        </w:tc>
      </w:tr>
      <w:tr>
        <w:trPr>
          <w:trHeight w:val="23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by and between the Company and FCDI, dated as</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of February 16, 2024</w:t>
            </w:r>
          </w:p>
        </w:tc>
      </w:tr>
      <w:tr>
        <w:trPr>
          <w:trHeight w:val="331"/>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10.22(e)†</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Amendment No. 4 to Non-Exclusive License and Development</w:t>
            </w:r>
          </w:p>
        </w:tc>
      </w:tr>
      <w:tr>
        <w:trPr>
          <w:trHeight w:val="23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Agreement by and between the Company and FCDI, dated as</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of November 14, 2025</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10.23†</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Lease Agreement by and between the Company and ARE-</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Seattle No. 39, LLC, dated as of June 1, 2022</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10.24</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Sales Agreement by and between the Company and TD</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Securities (USA) LLC, dated as of May 8, 2025</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10.25#</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Change in Control Severance Plan and Summary Plan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19.1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Insider Trading Compliance Policy</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21.1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List of Subsidiaries</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23.1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Consent of Independent Registered Public Accounting Firm</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24.1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Power of Attorney (reference is made to the signature page)</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31.1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Certificate of Principal Executive Officer Pursuant to Section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302 of the Sarbanes-Oxley Act of 2002</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31.2</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Certificate of Principal Financial Officer Pursuant to Section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302 of the Sarbanes-Oxley Act of 2002</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32.1*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Certificate of Principal Executive Officer Pursuant to Section</w:t>
            </w: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906 of the Sarbanes-Oxley Act of 2002</w:t>
            </w:r>
          </w:p>
        </w:tc>
      </w:tr>
    </w:tbl>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Times New Roman" w:cs="Times New Roman" w:eastAsia="Times New Roman" w:hAnsi="Times New Roman"/>
          <w:sz w:val="20"/>
          <w:szCs w:val="20"/>
          <w:b w:val="1"/>
          <w:bCs w:val="1"/>
          <w:color w:val="231F20"/>
        </w:rPr>
        <w:t>Incorporated by Reference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231F20"/>
            </w:tcBorders>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104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left="40"/>
              <w:spacing w:after="0" w:line="197" w:lineRule="exact"/>
              <w:rPr>
                <w:sz w:val="20"/>
                <w:szCs w:val="20"/>
                <w:color w:val="auto"/>
              </w:rPr>
            </w:pPr>
            <w:r>
              <w:rPr>
                <w:rFonts w:ascii="Times New Roman" w:cs="Times New Roman" w:eastAsia="Times New Roman" w:hAnsi="Times New Roman"/>
                <w:sz w:val="20"/>
                <w:szCs w:val="20"/>
                <w:b w:val="1"/>
                <w:bCs w:val="1"/>
                <w:color w:val="231F20"/>
              </w:rPr>
              <w:t>Filed</w:t>
            </w:r>
          </w:p>
        </w:tc>
      </w:tr>
      <w:tr>
        <w:trPr>
          <w:trHeight w:val="253"/>
        </w:trPr>
        <w:tc>
          <w:tcPr>
            <w:tcW w:w="760" w:type="dxa"/>
            <w:vAlign w:val="bottom"/>
            <w:tcBorders>
              <w:bottom w:val="single" w:sz="8" w:color="231F20"/>
            </w:tcBorders>
          </w:tcPr>
          <w:p>
            <w:pPr>
              <w:jc w:val="center"/>
              <w:ind w:left="20"/>
              <w:spacing w:after="0"/>
              <w:rPr>
                <w:sz w:val="20"/>
                <w:szCs w:val="20"/>
                <w:color w:val="auto"/>
              </w:rPr>
            </w:pPr>
            <w:r>
              <w:rPr>
                <w:rFonts w:ascii="Times New Roman" w:cs="Times New Roman" w:eastAsia="Times New Roman" w:hAnsi="Times New Roman"/>
                <w:sz w:val="20"/>
                <w:szCs w:val="20"/>
                <w:b w:val="1"/>
                <w:bCs w:val="1"/>
                <w:color w:val="231F20"/>
              </w:rPr>
              <w:t>Form</w:t>
            </w:r>
          </w:p>
        </w:tc>
        <w:tc>
          <w:tcPr>
            <w:tcW w:w="100" w:type="dxa"/>
            <w:vAlign w:val="bottom"/>
          </w:tcPr>
          <w:p>
            <w:pPr>
              <w:spacing w:after="0"/>
              <w:rPr>
                <w:sz w:val="22"/>
                <w:szCs w:val="22"/>
                <w:color w:val="auto"/>
              </w:rPr>
            </w:pPr>
          </w:p>
        </w:tc>
        <w:tc>
          <w:tcPr>
            <w:tcW w:w="1400" w:type="dxa"/>
            <w:vAlign w:val="bottom"/>
            <w:tcBorders>
              <w:bottom w:val="single" w:sz="8" w:color="231F20"/>
            </w:tcBorders>
          </w:tcPr>
          <w:p>
            <w:pPr>
              <w:jc w:val="center"/>
              <w:ind w:left="60"/>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120" w:type="dxa"/>
            <w:vAlign w:val="bottom"/>
          </w:tcPr>
          <w:p>
            <w:pPr>
              <w:spacing w:after="0"/>
              <w:rPr>
                <w:sz w:val="22"/>
                <w:szCs w:val="22"/>
                <w:color w:val="auto"/>
              </w:rPr>
            </w:pPr>
          </w:p>
        </w:tc>
        <w:tc>
          <w:tcPr>
            <w:tcW w:w="1040" w:type="dxa"/>
            <w:vAlign w:val="bottom"/>
            <w:tcBorders>
              <w:bottom w:val="single" w:sz="8" w:color="231F20"/>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1100" w:type="dxa"/>
            <w:vAlign w:val="bottom"/>
            <w:tcBorders>
              <w:bottom w:val="single" w:sz="8" w:color="231F20"/>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9"/>
              </w:rPr>
              <w:t>Herewith</w:t>
            </w:r>
          </w:p>
        </w:tc>
      </w:tr>
      <w:tr>
        <w:trPr>
          <w:trHeight w:val="462"/>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11/02/2022</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98"/>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8"/>
              </w:rPr>
              <w:t>05/08/2023</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98"/>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05/08/2024</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0"/>
        </w:trPr>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05/08/2025</w:t>
            </w:r>
          </w:p>
        </w:tc>
        <w:tc>
          <w:tcPr>
            <w:tcW w:w="116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231F20"/>
                <w:w w:val="97"/>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spacing w:after="0"/>
        <w:tabs>
          <w:tab w:leader="none" w:pos="1160" w:val="left"/>
          <w:tab w:leader="none" w:pos="2720" w:val="left"/>
        </w:tabs>
        <w:rPr>
          <w:sz w:val="20"/>
          <w:szCs w:val="20"/>
          <w:color w:val="auto"/>
        </w:rPr>
      </w:pP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20"/>
          <w:szCs w:val="20"/>
          <w:color w:val="231F20"/>
        </w:rPr>
        <w:t>03/16/2022</w:t>
      </w:r>
      <w:r>
        <w:rPr>
          <w:sz w:val="20"/>
          <w:szCs w:val="20"/>
          <w:color w:val="auto"/>
        </w:rPr>
        <w:tab/>
      </w:r>
      <w:r>
        <w:rPr>
          <w:rFonts w:ascii="Times New Roman" w:cs="Times New Roman" w:eastAsia="Times New Roman" w:hAnsi="Times New Roman"/>
          <w:sz w:val="20"/>
          <w:szCs w:val="20"/>
          <w:color w:val="231F20"/>
        </w:rPr>
        <w:t>10.25</w:t>
      </w:r>
    </w:p>
    <w:p>
      <w:pPr>
        <w:spacing w:after="0" w:line="200" w:lineRule="exact"/>
        <w:rPr>
          <w:sz w:val="20"/>
          <w:szCs w:val="20"/>
          <w:color w:val="auto"/>
        </w:rPr>
      </w:pPr>
    </w:p>
    <w:p>
      <w:pPr>
        <w:spacing w:after="0" w:line="398" w:lineRule="exact"/>
        <w:rPr>
          <w:sz w:val="20"/>
          <w:szCs w:val="20"/>
          <w:color w:val="auto"/>
        </w:rPr>
      </w:pPr>
    </w:p>
    <w:p>
      <w:pPr>
        <w:ind w:left="140"/>
        <w:spacing w:after="0"/>
        <w:tabs>
          <w:tab w:leader="none" w:pos="1180" w:val="left"/>
          <w:tab w:leader="none" w:pos="2720" w:val="left"/>
        </w:tabs>
        <w:rPr>
          <w:sz w:val="20"/>
          <w:szCs w:val="20"/>
          <w:color w:val="auto"/>
        </w:rPr>
      </w:pPr>
      <w:r>
        <w:rPr>
          <w:rFonts w:ascii="Times New Roman" w:cs="Times New Roman" w:eastAsia="Times New Roman" w:hAnsi="Times New Roman"/>
          <w:sz w:val="20"/>
          <w:szCs w:val="20"/>
          <w:color w:val="535355"/>
        </w:rPr>
        <w:t>S-1/A</w:t>
      </w:r>
      <w:r>
        <w:rPr>
          <w:sz w:val="20"/>
          <w:szCs w:val="20"/>
          <w:color w:val="auto"/>
        </w:rPr>
        <w:tab/>
      </w:r>
      <w:r>
        <w:rPr>
          <w:rFonts w:ascii="Times New Roman" w:cs="Times New Roman" w:eastAsia="Times New Roman" w:hAnsi="Times New Roman"/>
          <w:sz w:val="20"/>
          <w:szCs w:val="20"/>
          <w:color w:val="535355"/>
        </w:rPr>
        <w:t>02/02/2021</w:t>
      </w:r>
      <w:r>
        <w:rPr>
          <w:sz w:val="20"/>
          <w:szCs w:val="20"/>
          <w:color w:val="auto"/>
        </w:rPr>
        <w:tab/>
      </w:r>
      <w:r>
        <w:rPr>
          <w:rFonts w:ascii="Times New Roman" w:cs="Times New Roman" w:eastAsia="Times New Roman" w:hAnsi="Times New Roman"/>
          <w:sz w:val="20"/>
          <w:szCs w:val="20"/>
          <w:color w:val="231F20"/>
        </w:rPr>
        <w:t>10.23</w:t>
      </w:r>
    </w:p>
    <w:p>
      <w:pPr>
        <w:spacing w:after="0" w:line="200" w:lineRule="exact"/>
        <w:rPr>
          <w:sz w:val="20"/>
          <w:szCs w:val="20"/>
          <w:color w:val="auto"/>
        </w:rPr>
      </w:pPr>
    </w:p>
    <w:p>
      <w:pPr>
        <w:spacing w:after="0" w:line="259" w:lineRule="exact"/>
        <w:rPr>
          <w:sz w:val="20"/>
          <w:szCs w:val="20"/>
          <w:color w:val="auto"/>
        </w:rPr>
      </w:pPr>
    </w:p>
    <w:p>
      <w:pPr>
        <w:ind w:left="240"/>
        <w:spacing w:after="0"/>
        <w:tabs>
          <w:tab w:leader="none" w:pos="1180" w:val="left"/>
          <w:tab w:leader="none" w:pos="2620" w:val="left"/>
        </w:tabs>
        <w:rPr>
          <w:sz w:val="20"/>
          <w:szCs w:val="20"/>
          <w:color w:val="auto"/>
        </w:rPr>
      </w:pP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20"/>
          <w:szCs w:val="20"/>
          <w:color w:val="535355"/>
        </w:rPr>
        <w:t>03/16/2023</w:t>
      </w:r>
      <w:r>
        <w:rPr>
          <w:sz w:val="20"/>
          <w:szCs w:val="20"/>
          <w:color w:val="auto"/>
        </w:rPr>
        <w:tab/>
      </w:r>
      <w:r>
        <w:rPr>
          <w:rFonts w:ascii="Times New Roman" w:cs="Times New Roman" w:eastAsia="Times New Roman" w:hAnsi="Times New Roman"/>
          <w:sz w:val="19"/>
          <w:szCs w:val="19"/>
          <w:color w:val="231F20"/>
        </w:rPr>
        <w:t>10.22(b)</w:t>
      </w:r>
    </w:p>
    <w:p>
      <w:pPr>
        <w:spacing w:after="0" w:line="200" w:lineRule="exact"/>
        <w:rPr>
          <w:sz w:val="20"/>
          <w:szCs w:val="20"/>
          <w:color w:val="auto"/>
        </w:rPr>
      </w:pPr>
    </w:p>
    <w:p>
      <w:pPr>
        <w:spacing w:after="0" w:line="397" w:lineRule="exact"/>
        <w:rPr>
          <w:sz w:val="20"/>
          <w:szCs w:val="20"/>
          <w:color w:val="auto"/>
        </w:rPr>
      </w:pPr>
    </w:p>
    <w:p>
      <w:pPr>
        <w:ind w:left="240"/>
        <w:spacing w:after="0"/>
        <w:tabs>
          <w:tab w:leader="none" w:pos="1180" w:val="left"/>
          <w:tab w:leader="none" w:pos="2620" w:val="left"/>
        </w:tabs>
        <w:rPr>
          <w:sz w:val="20"/>
          <w:szCs w:val="20"/>
          <w:color w:val="auto"/>
        </w:rPr>
      </w:pP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20"/>
          <w:szCs w:val="20"/>
          <w:color w:val="535355"/>
        </w:rPr>
        <w:t>03/16/2023</w:t>
      </w:r>
      <w:r>
        <w:rPr>
          <w:sz w:val="20"/>
          <w:szCs w:val="20"/>
          <w:color w:val="auto"/>
        </w:rPr>
        <w:tab/>
      </w:r>
      <w:r>
        <w:rPr>
          <w:rFonts w:ascii="Times New Roman" w:cs="Times New Roman" w:eastAsia="Times New Roman" w:hAnsi="Times New Roman"/>
          <w:sz w:val="19"/>
          <w:szCs w:val="19"/>
          <w:color w:val="231F20"/>
        </w:rPr>
        <w:t>10.22(c)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231F20"/>
        </w:rPr>
        <w:t>X</w:t>
      </w:r>
    </w:p>
    <w:p>
      <w:pPr>
        <w:spacing w:after="0" w:line="200" w:lineRule="exact"/>
        <w:rPr>
          <w:sz w:val="20"/>
          <w:szCs w:val="20"/>
          <w:color w:val="auto"/>
        </w:rPr>
      </w:pPr>
    </w:p>
    <w:p>
      <w:pPr>
        <w:spacing w:after="0" w:line="39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231F20"/>
        </w:rPr>
        <w:t>X</w:t>
      </w: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266"/>
        </w:trPr>
        <w:tc>
          <w:tcPr>
            <w:tcW w:w="68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10-Q</w:t>
            </w:r>
          </w:p>
        </w:tc>
        <w:tc>
          <w:tcPr>
            <w:tcW w:w="15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08/04/2022</w:t>
            </w: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231F20"/>
                <w:w w:val="97"/>
              </w:rPr>
              <w:t>10.1</w:t>
            </w:r>
          </w:p>
        </w:tc>
      </w:tr>
      <w:tr>
        <w:trPr>
          <w:trHeight w:val="598"/>
        </w:trPr>
        <w:tc>
          <w:tcPr>
            <w:tcW w:w="68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6"/>
              </w:rPr>
              <w:t>8-K</w:t>
            </w:r>
          </w:p>
        </w:tc>
        <w:tc>
          <w:tcPr>
            <w:tcW w:w="15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05/08/2025</w:t>
            </w: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231F20"/>
              </w:rPr>
              <w:t>1.1</w:t>
            </w:r>
          </w:p>
        </w:tc>
      </w:tr>
      <w:tr>
        <w:trPr>
          <w:trHeight w:val="598"/>
        </w:trPr>
        <w:tc>
          <w:tcPr>
            <w:tcW w:w="68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10-K</w:t>
            </w:r>
          </w:p>
        </w:tc>
        <w:tc>
          <w:tcPr>
            <w:tcW w:w="15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02/29/2024</w:t>
            </w: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231F20"/>
              </w:rPr>
              <w:t>10.29</w:t>
            </w:r>
          </w:p>
        </w:tc>
      </w:tr>
      <w:tr>
        <w:trPr>
          <w:trHeight w:val="368"/>
        </w:trPr>
        <w:tc>
          <w:tcPr>
            <w:tcW w:w="68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10-K</w:t>
            </w:r>
          </w:p>
        </w:tc>
        <w:tc>
          <w:tcPr>
            <w:tcW w:w="15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03/17/2025</w:t>
            </w: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231F20"/>
                <w:w w:val="97"/>
              </w:rPr>
              <w:t>19.1</w:t>
            </w:r>
          </w:p>
        </w:tc>
      </w:tr>
      <w:tr>
        <w:trPr>
          <w:trHeight w:val="368"/>
        </w:trPr>
        <w:tc>
          <w:tcPr>
            <w:tcW w:w="68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rPr>
              <w:t>10-K</w:t>
            </w:r>
          </w:p>
        </w:tc>
        <w:tc>
          <w:tcPr>
            <w:tcW w:w="15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03/24/2021</w:t>
            </w: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231F20"/>
                <w:w w:val="97"/>
              </w:rPr>
              <w:t>21.1</w:t>
            </w:r>
          </w:p>
        </w:tc>
      </w:tr>
    </w:tbl>
    <w:p>
      <w:pPr>
        <w:spacing w:after="0" w:line="102"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20"/>
          <w:szCs w:val="20"/>
          <w:color w:val="231F20"/>
        </w:rPr>
        <w:t>X</w:t>
      </w:r>
    </w:p>
    <w:p>
      <w:pPr>
        <w:spacing w:after="0" w:line="13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20"/>
          <w:szCs w:val="20"/>
          <w:color w:val="231F20"/>
        </w:rPr>
        <w:t>X</w:t>
      </w:r>
    </w:p>
    <w:p>
      <w:pPr>
        <w:spacing w:after="0" w:line="3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231F20"/>
        </w:rPr>
        <w:t>X</w:t>
      </w:r>
    </w:p>
    <w:p>
      <w:pPr>
        <w:spacing w:after="0" w:line="3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231F20"/>
        </w:rPr>
        <w:t>X</w:t>
      </w:r>
    </w:p>
    <w:p>
      <w:pPr>
        <w:spacing w:after="0" w:line="3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231F20"/>
        </w:rPr>
        <w:t>X</w:t>
      </w:r>
    </w:p>
    <w:p>
      <w:pPr>
        <w:spacing w:after="0" w:line="236" w:lineRule="exact"/>
        <w:rPr>
          <w:sz w:val="20"/>
          <w:szCs w:val="20"/>
          <w:color w:val="auto"/>
        </w:rPr>
      </w:pPr>
    </w:p>
    <w:p>
      <w:pPr>
        <w:sectPr>
          <w:pgSz w:w="11880" w:h="15480" w:orient="portrait"/>
          <w:cols w:equalWidth="0" w:num="2">
            <w:col w:w="6040" w:space="120"/>
            <w:col w:w="4640"/>
          </w:cols>
          <w:pgMar w:left="540" w:top="746" w:right="54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182</w:t>
      </w:r>
    </w:p>
    <w:p>
      <w:pPr>
        <w:sectPr>
          <w:pgSz w:w="11880" w:h="15480" w:orient="portrait"/>
          <w:cols w:equalWidth="0" w:num="1">
            <w:col w:w="10800"/>
          </w:cols>
          <w:pgMar w:left="540" w:top="746" w:right="540" w:bottom="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Exhibit</w:t>
            </w:r>
          </w:p>
        </w:tc>
        <w:tc>
          <w:tcPr>
            <w:tcW w:w="1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Borders>
              <w:bottom w:val="single" w:sz="8" w:color="231F20"/>
            </w:tcBorders>
            <w:gridSpan w:val="3"/>
          </w:tcPr>
          <w:p>
            <w:pPr>
              <w:ind w:left="200"/>
              <w:spacing w:after="0"/>
              <w:rPr>
                <w:sz w:val="20"/>
                <w:szCs w:val="20"/>
                <w:color w:val="auto"/>
              </w:rPr>
            </w:pPr>
            <w:r>
              <w:rPr>
                <w:rFonts w:ascii="Times New Roman" w:cs="Times New Roman" w:eastAsia="Times New Roman" w:hAnsi="Times New Roman"/>
                <w:sz w:val="20"/>
                <w:szCs w:val="20"/>
                <w:b w:val="1"/>
                <w:bCs w:val="1"/>
                <w:color w:val="231F20"/>
              </w:rPr>
              <w:t>Incorporated by Reference</w:t>
            </w:r>
          </w:p>
        </w:tc>
        <w:tc>
          <w:tcPr>
            <w:tcW w:w="120" w:type="dxa"/>
            <w:vAlign w:val="bottom"/>
          </w:tcPr>
          <w:p>
            <w:pPr>
              <w:spacing w:after="0"/>
              <w:rPr>
                <w:sz w:val="22"/>
                <w:szCs w:val="22"/>
                <w:color w:val="auto"/>
              </w:rPr>
            </w:pPr>
          </w:p>
        </w:tc>
        <w:tc>
          <w:tcPr>
            <w:tcW w:w="1100" w:type="dxa"/>
            <w:vAlign w:val="bottom"/>
            <w:vMerge w:val="restart"/>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rPr>
              <w:t>Filed</w:t>
            </w:r>
          </w:p>
        </w:tc>
        <w:tc>
          <w:tcPr>
            <w:tcW w:w="0" w:type="dxa"/>
            <w:vAlign w:val="bottom"/>
          </w:tcPr>
          <w:p>
            <w:pPr>
              <w:spacing w:after="0"/>
              <w:rPr>
                <w:sz w:val="1"/>
                <w:szCs w:val="1"/>
                <w:color w:val="auto"/>
              </w:rPr>
            </w:pPr>
          </w:p>
        </w:tc>
      </w:tr>
      <w:tr>
        <w:trPr>
          <w:trHeight w:val="197"/>
        </w:trPr>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5060" w:type="dxa"/>
            <w:vAlign w:val="bottom"/>
          </w:tcPr>
          <w:p>
            <w:pPr>
              <w:ind w:left="1700"/>
              <w:spacing w:after="0"/>
              <w:rPr>
                <w:sz w:val="20"/>
                <w:szCs w:val="20"/>
                <w:color w:val="auto"/>
              </w:rPr>
            </w:pPr>
            <w:r>
              <w:rPr>
                <w:rFonts w:ascii="Times New Roman" w:cs="Times New Roman" w:eastAsia="Times New Roman" w:hAnsi="Times New Roman"/>
                <w:sz w:val="20"/>
                <w:szCs w:val="20"/>
                <w:b w:val="1"/>
                <w:bCs w:val="1"/>
                <w:color w:val="231F20"/>
              </w:rPr>
              <w:t>Exhibit Description</w:t>
            </w:r>
          </w:p>
        </w:tc>
        <w:tc>
          <w:tcPr>
            <w:tcW w:w="12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rPr>
              <w:t>Form</w:t>
            </w:r>
          </w:p>
        </w:tc>
        <w:tc>
          <w:tcPr>
            <w:tcW w:w="1400" w:type="dxa"/>
            <w:vAlign w:val="bottom"/>
          </w:tcPr>
          <w:p>
            <w:pPr>
              <w:jc w:val="center"/>
              <w:ind w:left="60"/>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120" w:type="dxa"/>
            <w:vAlign w:val="bottom"/>
          </w:tcPr>
          <w:p>
            <w:pPr>
              <w:spacing w:after="0"/>
              <w:rPr>
                <w:sz w:val="22"/>
                <w:szCs w:val="22"/>
                <w:color w:val="auto"/>
              </w:rPr>
            </w:pPr>
          </w:p>
        </w:tc>
        <w:tc>
          <w:tcPr>
            <w:tcW w:w="104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8"/>
              </w:rPr>
              <w:t>Number</w:t>
            </w:r>
          </w:p>
        </w:tc>
        <w:tc>
          <w:tcPr>
            <w:tcW w:w="120" w:type="dxa"/>
            <w:vAlign w:val="bottom"/>
          </w:tcPr>
          <w:p>
            <w:pPr>
              <w:spacing w:after="0"/>
              <w:rPr>
                <w:sz w:val="22"/>
                <w:szCs w:val="22"/>
                <w:color w:val="auto"/>
              </w:rPr>
            </w:pP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231F20"/>
                <w:w w:val="99"/>
              </w:rPr>
              <w:t>Herewith</w:t>
            </w:r>
          </w:p>
        </w:tc>
        <w:tc>
          <w:tcPr>
            <w:tcW w:w="0" w:type="dxa"/>
            <w:vAlign w:val="bottom"/>
          </w:tcPr>
          <w:p>
            <w:pPr>
              <w:spacing w:after="0"/>
              <w:rPr>
                <w:sz w:val="1"/>
                <w:szCs w:val="1"/>
                <w:color w:val="auto"/>
              </w:rPr>
            </w:pPr>
          </w:p>
        </w:tc>
      </w:tr>
      <w:tr>
        <w:trPr>
          <w:trHeight w:val="201"/>
        </w:trPr>
        <w:tc>
          <w:tcPr>
            <w:tcW w:w="860" w:type="dxa"/>
            <w:vAlign w:val="bottom"/>
            <w:tcBorders>
              <w:top w:val="single" w:sz="8" w:color="231F20"/>
            </w:tcBorders>
          </w:tcPr>
          <w:p>
            <w:pPr>
              <w:jc w:val="right"/>
              <w:ind w:right="100"/>
              <w:spacing w:after="0" w:line="201" w:lineRule="exact"/>
              <w:rPr>
                <w:sz w:val="20"/>
                <w:szCs w:val="20"/>
                <w:color w:val="auto"/>
              </w:rPr>
            </w:pPr>
            <w:r>
              <w:rPr>
                <w:rFonts w:ascii="Times New Roman" w:cs="Times New Roman" w:eastAsia="Times New Roman" w:hAnsi="Times New Roman"/>
                <w:sz w:val="20"/>
                <w:szCs w:val="20"/>
                <w:color w:val="231F20"/>
              </w:rPr>
              <w:t>32.2*</w:t>
            </w:r>
          </w:p>
        </w:tc>
        <w:tc>
          <w:tcPr>
            <w:tcW w:w="120" w:type="dxa"/>
            <w:vAlign w:val="bottom"/>
          </w:tcPr>
          <w:p>
            <w:pPr>
              <w:spacing w:after="0"/>
              <w:rPr>
                <w:sz w:val="17"/>
                <w:szCs w:val="17"/>
                <w:color w:val="auto"/>
              </w:rPr>
            </w:pPr>
          </w:p>
        </w:tc>
        <w:tc>
          <w:tcPr>
            <w:tcW w:w="5060" w:type="dxa"/>
            <w:vAlign w:val="bottom"/>
            <w:tcBorders>
              <w:top w:val="single" w:sz="8" w:color="231F20"/>
            </w:tcBorders>
          </w:tcPr>
          <w:p>
            <w:pPr>
              <w:spacing w:after="0" w:line="201" w:lineRule="exact"/>
              <w:rPr>
                <w:sz w:val="20"/>
                <w:szCs w:val="20"/>
                <w:color w:val="auto"/>
              </w:rPr>
            </w:pPr>
            <w:r>
              <w:rPr>
                <w:rFonts w:ascii="Times New Roman" w:cs="Times New Roman" w:eastAsia="Times New Roman" w:hAnsi="Times New Roman"/>
                <w:sz w:val="20"/>
                <w:szCs w:val="20"/>
                <w:color w:val="231F20"/>
              </w:rPr>
              <w:t>Certificate of Principal Financial Officer Pursuant to Section</w:t>
            </w:r>
          </w:p>
        </w:tc>
        <w:tc>
          <w:tcPr>
            <w:tcW w:w="120" w:type="dxa"/>
            <w:vAlign w:val="bottom"/>
          </w:tcPr>
          <w:p>
            <w:pPr>
              <w:spacing w:after="0"/>
              <w:rPr>
                <w:sz w:val="17"/>
                <w:szCs w:val="17"/>
                <w:color w:val="auto"/>
              </w:rPr>
            </w:pPr>
          </w:p>
        </w:tc>
        <w:tc>
          <w:tcPr>
            <w:tcW w:w="76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231F20"/>
            </w:tcBorders>
            <w:vMerge w:val="restart"/>
          </w:tcPr>
          <w:p>
            <w:pPr>
              <w:jc w:val="center"/>
              <w:ind w:left="40"/>
              <w:spacing w:after="0"/>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66"/>
        </w:trPr>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906 of the Sarbanes-Oxley Act of 2002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97.1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Compensation Recovery Policy</w:t>
            </w: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02/29/2024</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97.1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101.INS</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Instance Document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101.SCH</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Schema with Embedded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Linkbase Document</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980" w:right="4900" w:hanging="698"/>
        <w:spacing w:after="0" w:line="248" w:lineRule="auto"/>
        <w:tabs>
          <w:tab w:leader="none" w:pos="980" w:val="left"/>
        </w:tabs>
        <w:numPr>
          <w:ilvl w:val="1"/>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Cover Page Interactive Data File (embedded within the Inline XBRL document)</w:t>
      </w:r>
    </w:p>
    <w:p>
      <w:pPr>
        <w:spacing w:after="0" w:line="272" w:lineRule="exact"/>
        <w:rPr>
          <w:rFonts w:ascii="Times New Roman" w:cs="Times New Roman" w:eastAsia="Times New Roman" w:hAnsi="Times New Roman"/>
          <w:sz w:val="20"/>
          <w:szCs w:val="20"/>
          <w:color w:val="231F20"/>
        </w:rPr>
      </w:pPr>
    </w:p>
    <w:p>
      <w:pPr>
        <w:ind w:left="160" w:hanging="160"/>
        <w:spacing w:after="0"/>
        <w:tabs>
          <w:tab w:leader="none" w:pos="16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Indicates management contract or compensatory plan.</w:t>
      </w:r>
    </w:p>
    <w:p>
      <w:pPr>
        <w:spacing w:after="0" w:line="40" w:lineRule="exact"/>
        <w:rPr>
          <w:sz w:val="20"/>
          <w:szCs w:val="20"/>
          <w:color w:val="auto"/>
        </w:rPr>
      </w:pPr>
    </w:p>
    <w:p>
      <w:pPr>
        <w:ind w:right="300"/>
        <w:spacing w:after="0" w:line="260" w:lineRule="auto"/>
        <w:tabs>
          <w:tab w:leader="none" w:pos="150" w:val="left"/>
        </w:tabs>
        <w:numPr>
          <w:ilvl w:val="0"/>
          <w:numId w:val="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exhibits and schedules have been omitted pursuant to Regulation S-K Item 601(a)(5). The Company hereby undertakes to furnish supplementally a copy of any omitted exhibit or schedule upon request by the Securities and Exchange Commission.</w:t>
      </w:r>
    </w:p>
    <w:p>
      <w:pPr>
        <w:spacing w:after="0" w:line="1" w:lineRule="exact"/>
        <w:rPr>
          <w:sz w:val="20"/>
          <w:szCs w:val="20"/>
          <w:color w:val="auto"/>
        </w:rPr>
      </w:pPr>
    </w:p>
    <w:p>
      <w:pPr>
        <w:ind w:right="340"/>
        <w:spacing w:after="0" w:line="260" w:lineRule="auto"/>
        <w:tabs>
          <w:tab w:leader="none" w:pos="150" w:val="left"/>
        </w:tabs>
        <w:numPr>
          <w:ilvl w:val="0"/>
          <w:numId w:val="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portions of this document that constitute confidential information have been redacted in accordance with Regulation S-K Item 601(b)(10).</w:t>
      </w:r>
    </w:p>
    <w:p>
      <w:pPr>
        <w:spacing w:after="0" w:line="2" w:lineRule="exact"/>
        <w:rPr>
          <w:sz w:val="20"/>
          <w:szCs w:val="20"/>
          <w:color w:val="auto"/>
        </w:rPr>
      </w:pPr>
    </w:p>
    <w:p>
      <w:pPr>
        <w:ind w:right="120"/>
        <w:spacing w:after="0" w:line="252" w:lineRule="auto"/>
        <w:tabs>
          <w:tab w:leader="none" w:pos="150" w:val="left"/>
        </w:tabs>
        <w:numPr>
          <w:ilvl w:val="0"/>
          <w:numId w:val="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These certifications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183</w:t>
      </w:r>
    </w:p>
    <w:p>
      <w:pPr>
        <w:sectPr>
          <w:pgSz w:w="11880" w:h="15480" w:orient="portrait"/>
          <w:cols w:equalWidth="0" w:num="1">
            <w:col w:w="10800"/>
          </w:cols>
          <w:pgMar w:left="540" w:top="746" w:right="540" w:bottom="0" w:gutter="0" w:footer="0" w:header="0"/>
          <w:type w:val="continuous"/>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36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Annual Report on Form 10- K to be signed on its behalf by the undersigned, thereunto duly authorized in the City of Seattle, State of Washington on the 3rd day of March 2026.</w:t>
      </w:r>
    </w:p>
    <w:p>
      <w:pPr>
        <w:spacing w:after="0" w:line="2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9"/>
          <w:szCs w:val="19"/>
          <w:color w:val="231F20"/>
        </w:rPr>
        <w:t>SANA BIOTECHNOLOGY, INC.</w:t>
      </w:r>
    </w:p>
    <w:p>
      <w:pPr>
        <w:spacing w:after="0" w:line="24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9"/>
          <w:szCs w:val="19"/>
          <w:color w:val="231F20"/>
        </w:rPr>
        <w:t>/s/ Steven D. Harr,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3771900</wp:posOffset>
                </wp:positionH>
                <wp:positionV relativeFrom="paragraph">
                  <wp:posOffset>22860</wp:posOffset>
                </wp:positionV>
                <wp:extent cx="30861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pt,1.8pt" to="540pt,1.8pt" o:allowincell="f" strokecolor="#231F20" strokeweight="0.5pt"/>
            </w:pict>
          </mc:Fallback>
        </mc:AlternateContent>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9"/>
          <w:szCs w:val="19"/>
          <w:color w:val="231F20"/>
        </w:rPr>
        <w:t>Name:  Steven D. Harr, M.D.</w:t>
      </w:r>
    </w:p>
    <w:p>
      <w:pPr>
        <w:spacing w:after="0" w:line="21" w:lineRule="exact"/>
        <w:rPr>
          <w:sz w:val="20"/>
          <w:szCs w:val="20"/>
          <w:color w:val="auto"/>
        </w:rPr>
      </w:pPr>
    </w:p>
    <w:p>
      <w:pPr>
        <w:jc w:val="center"/>
        <w:ind w:left="5920"/>
        <w:spacing w:after="0"/>
        <w:tabs>
          <w:tab w:leader="none" w:pos="200" w:val="left"/>
        </w:tabs>
        <w:rPr>
          <w:sz w:val="20"/>
          <w:szCs w:val="20"/>
          <w:color w:val="auto"/>
        </w:rPr>
      </w:pPr>
      <w:r>
        <w:rPr>
          <w:rFonts w:ascii="Times New Roman" w:cs="Times New Roman" w:eastAsia="Times New Roman" w:hAnsi="Times New Roman"/>
          <w:sz w:val="19"/>
          <w:szCs w:val="19"/>
          <w:color w:val="231F20"/>
        </w:rPr>
        <w:t>Title:</w:t>
        <w:tab/>
        <w:t>President and Chief Executive Officer</w:t>
      </w:r>
    </w:p>
    <w:p>
      <w:pPr>
        <w:spacing w:after="0" w:line="3"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9"/>
          <w:szCs w:val="19"/>
          <w:color w:val="231F20"/>
        </w:rPr>
        <w:t>(Principal Executive Officer)</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184</w:t>
      </w:r>
    </w:p>
    <w:p>
      <w:pPr>
        <w:sectPr>
          <w:pgSz w:w="11880" w:h="15480" w:orient="portrait"/>
          <w:cols w:equalWidth="0" w:num="1">
            <w:col w:w="10780"/>
          </w:cols>
          <w:pgMar w:left="540" w:top="746" w:right="560" w:bottom="0" w:gutter="0" w:footer="0" w:header="0"/>
          <w:type w:val="continuous"/>
        </w:sectPr>
      </w:pPr>
    </w:p>
    <w:bookmarkStart w:id="190" w:name="page191"/>
    <w:bookmarkEnd w:id="190"/>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364"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Each person whose individual signature appears below hereby authorizes and appoints Steven D. Harr, M.D., Brian Piper, and Aaron M. Grossman,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2"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Annual Report on Form 10-K has been signed below by the following persons on behalf of the Registrant in the capacities and on the dates indicated.</w:t>
      </w:r>
    </w:p>
    <w:p>
      <w:pPr>
        <w:sectPr>
          <w:pgSz w:w="11880" w:h="15480" w:orient="portrait"/>
          <w:cols w:equalWidth="0" w:num="1">
            <w:col w:w="10760"/>
          </w:cols>
          <w:pgMar w:left="540" w:top="746" w:right="580" w:bottom="0" w:gutter="0" w:footer="0" w:header="0"/>
        </w:sectPr>
      </w:pPr>
    </w:p>
    <w:p>
      <w:pPr>
        <w:spacing w:after="0" w:line="20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231F20"/>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238506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187.8pt,1.2pt" o:allowincell="f" strokecolor="#231F20" strokeweight="0.5pt"/>
            </w:pict>
          </mc:Fallback>
        </mc:AlternateContent>
      </w:r>
    </w:p>
    <w:p>
      <w:pPr>
        <w:spacing w:after="0" w:line="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Steven D. Harr,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Steven D. Harr, M.D.</w:t>
      </w:r>
    </w:p>
    <w:p>
      <w:pPr>
        <w:spacing w:after="0" w:line="2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Brian Piper</w:t>
      </w:r>
    </w:p>
    <w:p>
      <w:pPr>
        <w:spacing w:after="0" w:line="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Brian Piper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238506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999pt" to="187.8pt,-10.4999pt" o:allowincell="f" strokecolor="#231F20" strokeweight="0.5pt"/>
            </w:pict>
          </mc:Fallback>
        </mc:AlternateContent>
      </w:r>
    </w:p>
    <w:p>
      <w:pPr>
        <w:spacing w:after="0" w:line="2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Susan Wyrick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Susan Wyrick</w:t>
      </w:r>
    </w:p>
    <w:p>
      <w:pPr>
        <w:spacing w:after="0" w:line="1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Hans E. Bishop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Hans E. Bishop</w:t>
      </w:r>
    </w:p>
    <w:p>
      <w:pPr>
        <w:spacing w:after="0" w:line="2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231F20"/>
        </w:rPr>
        <w:t>/s/ Joshua H. Bilenker,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238506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187.8pt,3.05pt" o:allowincell="f" strokecolor="#231F20" strokeweight="1pt"/>
            </w:pict>
          </mc:Fallback>
        </mc:AlternateContent>
      </w:r>
    </w:p>
    <w:p>
      <w:pPr>
        <w:spacing w:after="0" w:line="7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Joshua H. Bilenker, M.D.</w:t>
      </w:r>
    </w:p>
    <w:p>
      <w:pPr>
        <w:spacing w:after="0" w:line="2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Richard Mulligan,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Richard Mulligan, Ph.D.</w:t>
      </w:r>
    </w:p>
    <w:p>
      <w:pPr>
        <w:spacing w:after="0" w:line="2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Robert Nelsen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Robert Nelsen</w:t>
      </w:r>
    </w:p>
    <w:p>
      <w:pPr>
        <w:spacing w:after="0" w:line="2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Alise S. Reicin,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Alise S. Reicin, M.D.</w:t>
      </w: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Robert L. Rosiello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238506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187.8pt,1.5pt" o:allowincell="f" strokecolor="#231F20" strokeweight="0.5pt"/>
            </w:pict>
          </mc:Fallback>
        </mc:AlternateContent>
      </w:r>
    </w:p>
    <w:p>
      <w:pPr>
        <w:spacing w:after="0" w:line="1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Robert L. Rosiello</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Michelle Seitz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Michelle Seitz</w:t>
      </w:r>
    </w:p>
    <w:p>
      <w:pPr>
        <w:spacing w:after="0" w:line="24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/s/ Patrick Y. Yang,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238506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506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187.8pt,2.45pt" o:allowincell="f" strokecolor="#231F20" strokeweight="1pt"/>
            </w:pict>
          </mc:Fallback>
        </mc:AlternateContent>
      </w:r>
    </w:p>
    <w:p>
      <w:pPr>
        <w:spacing w:after="0" w:line="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231F20"/>
        </w:rPr>
        <w:t>Patrick Y. Yang, Ph.D.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6"/>
          <w:szCs w:val="16"/>
          <w:b w:val="1"/>
          <w:bCs w:val="1"/>
          <w:color w:val="231F20"/>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343281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328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270.2pt,1.2pt" o:allowincell="f" strokecolor="#231F20" strokeweight="0.5pt"/>
            </w:pict>
          </mc:Fallback>
        </mc:AlternateContent>
      </w:r>
    </w:p>
    <w:p>
      <w:pPr>
        <w:spacing w:after="0" w:line="9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9"/>
          <w:szCs w:val="19"/>
          <w:color w:val="231F20"/>
        </w:rPr>
        <w:t>President, Chief Executive Officer and Director (Principal Executive Officer)</w:t>
      </w:r>
    </w:p>
    <w:p>
      <w:pPr>
        <w:spacing w:after="0" w:line="19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231F20"/>
        </w:rPr>
        <w:t>Executive Vice President, Chief Financial Officer (Principal Financial Officer)</w:t>
      </w:r>
    </w:p>
    <w:p>
      <w:pPr>
        <w:spacing w:after="0" w:line="2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231F20"/>
        </w:rPr>
        <w:t>Senior Vice President, Finance and Accounting (Principal Accounting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Chairman of the Board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Director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15240</wp:posOffset>
                </wp:positionV>
                <wp:extent cx="88582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499pt,1.2pt" to="64pt,1.2pt" o:allowincell="f" strokecolor="#231F20" strokeweight="0.5pt"/>
            </w:pict>
          </mc:Fallback>
        </mc:AlternateConten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31F20"/>
        </w:rPr>
        <w:t>March 3, 2026</w:t>
      </w:r>
    </w:p>
    <w:p>
      <w:pPr>
        <w:spacing w:after="0" w:line="359" w:lineRule="exact"/>
        <w:rPr>
          <w:sz w:val="20"/>
          <w:szCs w:val="20"/>
          <w:color w:val="auto"/>
        </w:rPr>
      </w:pPr>
    </w:p>
    <w:p>
      <w:pPr>
        <w:sectPr>
          <w:pgSz w:w="11880" w:h="15480" w:orient="portrait"/>
          <w:cols w:equalWidth="0" w:num="3">
            <w:col w:w="3160" w:space="720"/>
            <w:col w:w="5340" w:space="300"/>
            <w:col w:w="1240"/>
          </w:cols>
          <w:pgMar w:left="540" w:top="746" w:right="5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185</w:t>
      </w:r>
    </w:p>
    <w:p>
      <w:pPr>
        <w:sectPr>
          <w:pgSz w:w="11880" w:h="15480" w:orient="portrait"/>
          <w:cols w:equalWidth="0" w:num="1">
            <w:col w:w="10760"/>
          </w:cols>
          <w:pgMar w:left="540" w:top="746" w:right="580" w:bottom="0" w:gutter="0" w:footer="0" w:header="0"/>
          <w:type w:val="continuous"/>
        </w:sectPr>
      </w:pPr>
    </w:p>
    <w:bookmarkStart w:id="191" w:name="page192"/>
    <w:bookmarkEnd w:id="19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32"/>
          <w:szCs w:val="32"/>
          <w:color w:val="005F9E"/>
        </w:rPr>
        <w:t>Corporate Information</w:t>
      </w:r>
    </w:p>
    <w:p>
      <w:pPr>
        <w:spacing w:after="0" w:line="200" w:lineRule="exact"/>
        <w:rPr>
          <w:sz w:val="20"/>
          <w:szCs w:val="20"/>
          <w:color w:val="auto"/>
        </w:rPr>
      </w:pPr>
    </w:p>
    <w:p>
      <w:pPr>
        <w:spacing w:after="0" w:line="294"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005F9E"/>
        </w:rPr>
        <w:t>LEADERSHIP TEAM</w:t>
      </w:r>
      <w:r>
        <w:rPr>
          <w:sz w:val="20"/>
          <w:szCs w:val="20"/>
          <w:color w:val="auto"/>
        </w:rPr>
        <w:tab/>
      </w:r>
      <w:r>
        <w:rPr>
          <w:rFonts w:ascii="Times New Roman" w:cs="Times New Roman" w:eastAsia="Times New Roman" w:hAnsi="Times New Roman"/>
          <w:sz w:val="19"/>
          <w:szCs w:val="19"/>
          <w:b w:val="1"/>
          <w:bCs w:val="1"/>
          <w:color w:val="005F9E"/>
        </w:rPr>
        <w:t>BOARD OF DIRECTORS</w:t>
      </w:r>
    </w:p>
    <w:p>
      <w:pPr>
        <w:spacing w:after="0" w:line="10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Steven D. Harr, MD</w:t>
      </w:r>
      <w:r>
        <w:rPr>
          <w:sz w:val="20"/>
          <w:szCs w:val="20"/>
          <w:color w:val="auto"/>
        </w:rPr>
        <w:tab/>
      </w:r>
      <w:r>
        <w:rPr>
          <w:rFonts w:ascii="Times New Roman" w:cs="Times New Roman" w:eastAsia="Times New Roman" w:hAnsi="Times New Roman"/>
          <w:sz w:val="19"/>
          <w:szCs w:val="19"/>
          <w:b w:val="1"/>
          <w:bCs w:val="1"/>
          <w:color w:val="231F20"/>
        </w:rPr>
        <w:t>Hans E. Bishop</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President and Chief Executive Officer</w:t>
      </w:r>
      <w:r>
        <w:rPr>
          <w:sz w:val="20"/>
          <w:szCs w:val="20"/>
          <w:color w:val="auto"/>
        </w:rPr>
        <w:tab/>
      </w:r>
      <w:r>
        <w:rPr>
          <w:rFonts w:ascii="Times New Roman" w:cs="Times New Roman" w:eastAsia="Times New Roman" w:hAnsi="Times New Roman"/>
          <w:sz w:val="17"/>
          <w:szCs w:val="17"/>
          <w:color w:val="231F20"/>
        </w:rPr>
        <w:t>Chairman</w:t>
      </w:r>
    </w:p>
    <w:p>
      <w:pPr>
        <w:spacing w:after="0" w:line="130"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Aaron Grossman</w:t>
      </w:r>
      <w:r>
        <w:rPr>
          <w:sz w:val="20"/>
          <w:szCs w:val="20"/>
          <w:color w:val="auto"/>
        </w:rPr>
        <w:tab/>
      </w:r>
      <w:r>
        <w:rPr>
          <w:rFonts w:ascii="Times New Roman" w:cs="Times New Roman" w:eastAsia="Times New Roman" w:hAnsi="Times New Roman"/>
          <w:sz w:val="19"/>
          <w:szCs w:val="19"/>
          <w:b w:val="1"/>
          <w:bCs w:val="1"/>
          <w:color w:val="231F20"/>
        </w:rPr>
        <w:t>Richard Mulligan, PhD</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Chief Legal Officer</w:t>
      </w:r>
      <w:r>
        <w:rPr>
          <w:sz w:val="20"/>
          <w:szCs w:val="20"/>
          <w:color w:val="auto"/>
        </w:rPr>
        <w:tab/>
      </w:r>
      <w:r>
        <w:rPr>
          <w:rFonts w:ascii="PMingLiU" w:cs="PMingLiU" w:eastAsia="PMingLiU" w:hAnsi="PMingLiU"/>
          <w:sz w:val="14"/>
          <w:szCs w:val="14"/>
          <w:color w:val="231F20"/>
        </w:rPr>
        <w:t>9LFH&amp;KDLUPDQ</w:t>
      </w:r>
    </w:p>
    <w:p>
      <w:pPr>
        <w:spacing w:after="0" w:line="130"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Gary Meininger, MD</w:t>
      </w:r>
      <w:r>
        <w:rPr>
          <w:sz w:val="20"/>
          <w:szCs w:val="20"/>
          <w:color w:val="auto"/>
        </w:rPr>
        <w:tab/>
      </w:r>
      <w:r>
        <w:rPr>
          <w:rFonts w:ascii="Times New Roman" w:cs="Times New Roman" w:eastAsia="Times New Roman" w:hAnsi="Times New Roman"/>
          <w:sz w:val="19"/>
          <w:szCs w:val="19"/>
          <w:b w:val="1"/>
          <w:bCs w:val="1"/>
          <w:color w:val="231F20"/>
        </w:rPr>
        <w:t>Steven D. Harr, MD</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Chief Medical Officer</w:t>
      </w:r>
      <w:r>
        <w:rPr>
          <w:sz w:val="20"/>
          <w:szCs w:val="20"/>
          <w:color w:val="auto"/>
        </w:rPr>
        <w:tab/>
      </w:r>
      <w:r>
        <w:rPr>
          <w:rFonts w:ascii="Times New Roman" w:cs="Times New Roman" w:eastAsia="Times New Roman" w:hAnsi="Times New Roman"/>
          <w:sz w:val="17"/>
          <w:szCs w:val="17"/>
          <w:color w:val="231F20"/>
        </w:rPr>
        <w:t>CEO, Director</w:t>
      </w:r>
    </w:p>
    <w:p>
      <w:pPr>
        <w:spacing w:after="0" w:line="130"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Dhavalkumar Patel, MD, PhD</w:t>
      </w:r>
      <w:r>
        <w:rPr>
          <w:sz w:val="20"/>
          <w:szCs w:val="20"/>
          <w:color w:val="auto"/>
        </w:rPr>
        <w:tab/>
      </w:r>
      <w:r>
        <w:rPr>
          <w:rFonts w:ascii="Times New Roman" w:cs="Times New Roman" w:eastAsia="Times New Roman" w:hAnsi="Times New Roman"/>
          <w:sz w:val="19"/>
          <w:szCs w:val="19"/>
          <w:b w:val="1"/>
          <w:bCs w:val="1"/>
          <w:color w:val="231F20"/>
        </w:rPr>
        <w:t>Joshua H. Bilenker, MD</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Chief Scientific Officer</w:t>
      </w:r>
      <w:r>
        <w:rPr>
          <w:sz w:val="20"/>
          <w:szCs w:val="20"/>
          <w:color w:val="auto"/>
        </w:rPr>
        <w:tab/>
      </w:r>
      <w:r>
        <w:rPr>
          <w:rFonts w:ascii="Times New Roman" w:cs="Times New Roman" w:eastAsia="Times New Roman" w:hAnsi="Times New Roman"/>
          <w:sz w:val="17"/>
          <w:szCs w:val="17"/>
          <w:color w:val="231F20"/>
        </w:rPr>
        <w:t>Director</w:t>
      </w:r>
    </w:p>
    <w:p>
      <w:pPr>
        <w:spacing w:after="0" w:line="130"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Snehal Patel</w:t>
      </w:r>
      <w:r>
        <w:rPr>
          <w:sz w:val="20"/>
          <w:szCs w:val="20"/>
          <w:color w:val="auto"/>
        </w:rPr>
        <w:tab/>
      </w:r>
      <w:r>
        <w:rPr>
          <w:rFonts w:ascii="Times New Roman" w:cs="Times New Roman" w:eastAsia="Times New Roman" w:hAnsi="Times New Roman"/>
          <w:sz w:val="19"/>
          <w:szCs w:val="19"/>
          <w:b w:val="1"/>
          <w:bCs w:val="1"/>
          <w:color w:val="231F20"/>
        </w:rPr>
        <w:t>Robert Nelsen</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Chief Technical Officer</w:t>
      </w:r>
      <w:r>
        <w:rPr>
          <w:sz w:val="20"/>
          <w:szCs w:val="20"/>
          <w:color w:val="auto"/>
        </w:rPr>
        <w:tab/>
      </w:r>
      <w:r>
        <w:rPr>
          <w:rFonts w:ascii="Times New Roman" w:cs="Times New Roman" w:eastAsia="Times New Roman" w:hAnsi="Times New Roman"/>
          <w:sz w:val="17"/>
          <w:szCs w:val="17"/>
          <w:color w:val="231F20"/>
        </w:rPr>
        <w:t>Director</w:t>
      </w:r>
    </w:p>
    <w:p>
      <w:pPr>
        <w:spacing w:after="0" w:line="130"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9"/>
          <w:szCs w:val="19"/>
          <w:b w:val="1"/>
          <w:bCs w:val="1"/>
          <w:color w:val="231F20"/>
        </w:rPr>
        <w:t>Brian Piper</w:t>
      </w:r>
      <w:r>
        <w:rPr>
          <w:sz w:val="20"/>
          <w:szCs w:val="20"/>
          <w:color w:val="auto"/>
        </w:rPr>
        <w:tab/>
      </w:r>
      <w:r>
        <w:rPr>
          <w:rFonts w:ascii="Times New Roman" w:cs="Times New Roman" w:eastAsia="Times New Roman" w:hAnsi="Times New Roman"/>
          <w:sz w:val="19"/>
          <w:szCs w:val="19"/>
          <w:b w:val="1"/>
          <w:bCs w:val="1"/>
          <w:color w:val="231F20"/>
        </w:rPr>
        <w:t>Alise S. Reicin, MD</w:t>
      </w:r>
    </w:p>
    <w:p>
      <w:pPr>
        <w:spacing w:after="0" w:line="36"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7"/>
          <w:szCs w:val="17"/>
          <w:color w:val="231F20"/>
        </w:rPr>
        <w:t>Chief Financial Officer</w:t>
      </w:r>
      <w:r>
        <w:rPr>
          <w:sz w:val="20"/>
          <w:szCs w:val="20"/>
          <w:color w:val="auto"/>
        </w:rPr>
        <w:tab/>
      </w:r>
      <w:r>
        <w:rPr>
          <w:rFonts w:ascii="Times New Roman" w:cs="Times New Roman" w:eastAsia="Times New Roman" w:hAnsi="Times New Roman"/>
          <w:sz w:val="17"/>
          <w:szCs w:val="17"/>
          <w:color w:val="231F20"/>
        </w:rPr>
        <w:t>Director</w:t>
      </w:r>
    </w:p>
    <w:p>
      <w:pPr>
        <w:spacing w:after="0" w:line="1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231F20"/>
        </w:rPr>
        <w:t>Robert L. Rosiello</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231F20"/>
        </w:rPr>
        <w:t>Director</w:t>
      </w:r>
    </w:p>
    <w:p>
      <w:pPr>
        <w:spacing w:after="0" w:line="1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231F20"/>
        </w:rPr>
        <w:t>Michelle Seitz, CFA</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231F20"/>
        </w:rPr>
        <w:t>Director</w:t>
      </w:r>
    </w:p>
    <w:p>
      <w:pPr>
        <w:spacing w:after="0" w:line="1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231F20"/>
        </w:rPr>
        <w:t>Patrick Y. Yang, PhD</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231F20"/>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5F9E"/>
        </w:rPr>
        <w:t>CORPORATE HEADQUARTERS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Sana Biotechnology, Inc.</w:t>
      </w:r>
    </w:p>
    <w:p>
      <w:pPr>
        <w:spacing w:after="0" w:line="36" w:lineRule="exact"/>
        <w:rPr>
          <w:sz w:val="20"/>
          <w:szCs w:val="20"/>
          <w:color w:val="auto"/>
        </w:rPr>
      </w:pPr>
    </w:p>
    <w:p>
      <w:pPr>
        <w:ind w:right="680"/>
        <w:spacing w:after="0" w:line="314" w:lineRule="auto"/>
        <w:rPr>
          <w:sz w:val="20"/>
          <w:szCs w:val="20"/>
          <w:color w:val="auto"/>
        </w:rPr>
      </w:pPr>
      <w:r>
        <w:rPr>
          <w:rFonts w:ascii="Times New Roman" w:cs="Times New Roman" w:eastAsia="Times New Roman" w:hAnsi="Times New Roman"/>
          <w:sz w:val="17"/>
          <w:szCs w:val="17"/>
          <w:color w:val="231F20"/>
        </w:rPr>
        <w:t>188 East Blaine Street, Suite 350 Seattle, WA 98102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5F9E"/>
        </w:rPr>
        <w:t>STOCKHOLDER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Annual Meeting of Stockholders</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color w:val="231F20"/>
        </w:rPr>
        <w:t>DP37RQ7KXUVGD\-XQH</w:t>
      </w:r>
    </w:p>
    <w:p>
      <w:pPr>
        <w:spacing w:after="0" w:line="12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231F20"/>
        </w:rPr>
        <w:t xml:space="preserve">To register for and attend our virtual annual meeting of stockholders, please visit </w:t>
      </w:r>
      <w:r>
        <w:rPr>
          <w:rFonts w:ascii="Times New Roman" w:cs="Times New Roman" w:eastAsia="Times New Roman" w:hAnsi="Times New Roman"/>
          <w:sz w:val="17"/>
          <w:szCs w:val="17"/>
          <w:color w:val="005F9E"/>
        </w:rPr>
        <w:t>www.proxydocs.com/SANA</w:t>
      </w:r>
      <w:r>
        <w:rPr>
          <w:rFonts w:ascii="Times New Roman" w:cs="Times New Roman" w:eastAsia="Times New Roman" w:hAnsi="Times New Roman"/>
          <w:sz w:val="17"/>
          <w:szCs w:val="17"/>
          <w:color w:val="231F20"/>
        </w:rPr>
        <w:t xml:space="preserve"> and enter the control number that is included on the Notice of Internet Availability of Proxy Materials or, if you are receiving a printed copy of the proxy materials, on your proxy card or voter instruction 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5F9E"/>
        </w:rPr>
        <w:t>TRANSFER AGENT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Equiniti Trust Company,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PO Box 500</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7"/>
          <w:szCs w:val="17"/>
          <w:color w:val="231F20"/>
        </w:rPr>
        <w:t>1HZDUN1-</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7"/>
          <w:szCs w:val="17"/>
          <w:color w:val="231F20"/>
        </w:rPr>
        <w:t>3KRQHRU</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7"/>
          <w:szCs w:val="17"/>
          <w:color w:val="005F9E"/>
        </w:rPr>
        <w:t>KWWSVHTXLQLWLFRPXVDVWDFFHVV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5F9E"/>
        </w:rPr>
        <w:t>individuals/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5F9E"/>
        </w:rPr>
        <w:t>STOCK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Symbol: SANA</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color w:val="231F20"/>
        </w:rPr>
        <w:t>([FKDQJH7KH1DVGDT6WRFN0DUNHW//&amp;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5F9E"/>
        </w:rPr>
        <w:t>LEGAL COUNSEL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Wilson Sonsini Goodrich &amp; Rosati, P.C.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Palo Alto, CA</w:t>
      </w:r>
    </w:p>
    <w:p>
      <w:pPr>
        <w:spacing w:after="0" w:line="245" w:lineRule="exact"/>
        <w:rPr>
          <w:sz w:val="20"/>
          <w:szCs w:val="20"/>
          <w:color w:val="auto"/>
        </w:rPr>
      </w:pPr>
    </w:p>
    <w:p>
      <w:pPr>
        <w:ind w:right="180"/>
        <w:spacing w:after="0" w:line="332" w:lineRule="auto"/>
        <w:rPr>
          <w:sz w:val="20"/>
          <w:szCs w:val="20"/>
          <w:color w:val="auto"/>
        </w:rPr>
      </w:pPr>
      <w:r>
        <w:rPr>
          <w:rFonts w:ascii="Times New Roman" w:cs="Times New Roman" w:eastAsia="Times New Roman" w:hAnsi="Times New Roman"/>
          <w:sz w:val="19"/>
          <w:szCs w:val="19"/>
          <w:b w:val="1"/>
          <w:bCs w:val="1"/>
          <w:color w:val="005F9E"/>
        </w:rPr>
        <w:t>INDEPENDENT REGISTERED PUBLIC ACCOUNTING FIRM</w:t>
      </w:r>
    </w:p>
    <w:p>
      <w:pPr>
        <w:spacing w:after="0"/>
        <w:rPr>
          <w:sz w:val="20"/>
          <w:szCs w:val="20"/>
          <w:color w:val="auto"/>
        </w:rPr>
      </w:pPr>
      <w:r>
        <w:rPr>
          <w:rFonts w:ascii="Times New Roman" w:cs="Times New Roman" w:eastAsia="Times New Roman" w:hAnsi="Times New Roman"/>
          <w:sz w:val="19"/>
          <w:szCs w:val="19"/>
          <w:b w:val="1"/>
          <w:bCs w:val="1"/>
          <w:color w:val="231F20"/>
        </w:rPr>
        <w:t>Ernst &amp; Young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Seattle, WA</w:t>
      </w:r>
    </w:p>
    <w:p>
      <w:pPr>
        <w:sectPr>
          <w:pgSz w:w="11880" w:h="15480" w:orient="portrait"/>
          <w:cols w:equalWidth="0" w:num="2">
            <w:col w:w="6160" w:space="720"/>
            <w:col w:w="3060"/>
          </w:cols>
          <w:pgMar w:left="1140" w:top="850" w:right="800"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592455</wp:posOffset>
            </wp:positionH>
            <wp:positionV relativeFrom="page">
              <wp:posOffset>580390</wp:posOffset>
            </wp:positionV>
            <wp:extent cx="1471295" cy="4483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471295" cy="44831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Sana Biotechnology,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188 East Blaine Street, Suite 350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Seattle, WA 98102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5F9E"/>
        </w:rPr>
        <w:t>sana.com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4888865</wp:posOffset>
                </wp:positionH>
                <wp:positionV relativeFrom="paragraph">
                  <wp:posOffset>2338070</wp:posOffset>
                </wp:positionV>
                <wp:extent cx="0" cy="176784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7840"/>
                        </a:xfrm>
                        <a:prstGeom prst="line">
                          <a:avLst/>
                        </a:prstGeom>
                        <a:solidFill>
                          <a:srgbClr val="FFFFFF"/>
                        </a:solidFill>
                        <a:ln w="6350">
                          <a:solidFill>
                            <a:srgbClr val="005F9E"/>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5pt,184.1pt" to="384.95pt,323.3pt" o:allowincell="f" strokecolor="#005F9E" strokeweight="0.5pt"/>
            </w:pict>
          </mc:Fallback>
        </mc:AlternateContent>
        <mc:AlternateContent>
          <mc:Choice Requires="wps">
            <w:drawing>
              <wp:anchor simplePos="0" relativeHeight="251657728" behindDoc="1" locked="0" layoutInCell="0" allowOverlap="1">
                <wp:simplePos x="0" y="0"/>
                <wp:positionH relativeFrom="column">
                  <wp:posOffset>1430020</wp:posOffset>
                </wp:positionH>
                <wp:positionV relativeFrom="paragraph">
                  <wp:posOffset>2341245</wp:posOffset>
                </wp:positionV>
                <wp:extent cx="346202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020" cy="4763"/>
                        </a:xfrm>
                        <a:prstGeom prst="line">
                          <a:avLst/>
                        </a:prstGeom>
                        <a:solidFill>
                          <a:srgbClr val="FFFFFF"/>
                        </a:solidFill>
                        <a:ln w="6350">
                          <a:solidFill>
                            <a:srgbClr val="005F9E"/>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6pt,184.35pt" to="385.2pt,184.35pt" o:allowincell="f" strokecolor="#005F9E" strokeweight="0.5pt"/>
            </w:pict>
          </mc:Fallback>
        </mc:AlternateContent>
        <mc:AlternateContent>
          <mc:Choice Requires="wps">
            <w:drawing>
              <wp:anchor simplePos="0" relativeHeight="251657728" behindDoc="1" locked="0" layoutInCell="0" allowOverlap="1">
                <wp:simplePos x="0" y="0"/>
                <wp:positionH relativeFrom="column">
                  <wp:posOffset>1433195</wp:posOffset>
                </wp:positionH>
                <wp:positionV relativeFrom="paragraph">
                  <wp:posOffset>2338070</wp:posOffset>
                </wp:positionV>
                <wp:extent cx="0" cy="17678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7840"/>
                        </a:xfrm>
                        <a:prstGeom prst="line">
                          <a:avLst/>
                        </a:prstGeom>
                        <a:solidFill>
                          <a:srgbClr val="FFFFFF"/>
                        </a:solidFill>
                        <a:ln w="6350">
                          <a:solidFill>
                            <a:srgbClr val="005F9E"/>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85pt,184.1pt" to="112.85pt,323.3pt" o:allowincell="f" strokecolor="#005F9E" strokeweight="0.5pt"/>
            </w:pict>
          </mc:Fallback>
        </mc:AlternateContent>
        <mc:AlternateContent>
          <mc:Choice Requires="wps">
            <w:drawing>
              <wp:anchor simplePos="0" relativeHeight="251657728" behindDoc="1" locked="0" layoutInCell="0" allowOverlap="1">
                <wp:simplePos x="0" y="0"/>
                <wp:positionH relativeFrom="column">
                  <wp:posOffset>1430020</wp:posOffset>
                </wp:positionH>
                <wp:positionV relativeFrom="paragraph">
                  <wp:posOffset>4102735</wp:posOffset>
                </wp:positionV>
                <wp:extent cx="346202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020" cy="4763"/>
                        </a:xfrm>
                        <a:prstGeom prst="line">
                          <a:avLst/>
                        </a:prstGeom>
                        <a:solidFill>
                          <a:srgbClr val="FFFFFF"/>
                        </a:solidFill>
                        <a:ln w="6350">
                          <a:solidFill>
                            <a:srgbClr val="005F9E"/>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6pt,323.05pt" to="385.2pt,323.05pt" o:allowincell="f" strokecolor="#005F9E"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005F9E"/>
        </w:rPr>
        <w:t>A B O U T  S A N A</w:t>
      </w:r>
    </w:p>
    <w:p>
      <w:pPr>
        <w:spacing w:after="0" w:line="194" w:lineRule="exact"/>
        <w:rPr>
          <w:sz w:val="20"/>
          <w:szCs w:val="20"/>
          <w:color w:val="auto"/>
        </w:rPr>
      </w:pPr>
    </w:p>
    <w:p>
      <w:pPr>
        <w:jc w:val="both"/>
        <w:ind w:left="2500" w:right="2020"/>
        <w:spacing w:after="0" w:line="283" w:lineRule="auto"/>
        <w:rPr>
          <w:sz w:val="20"/>
          <w:szCs w:val="20"/>
          <w:color w:val="auto"/>
        </w:rPr>
      </w:pPr>
      <w:r>
        <w:rPr>
          <w:rFonts w:ascii="Times New Roman" w:cs="Times New Roman" w:eastAsia="Times New Roman" w:hAnsi="Times New Roman"/>
          <w:sz w:val="18"/>
          <w:szCs w:val="18"/>
          <w:color w:val="231F20"/>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WA, Cambridge, MA, and South San Francisco,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2983865</wp:posOffset>
            </wp:positionV>
            <wp:extent cx="881380" cy="414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8">
                      <a:extLst>
                        <a:ext uri="{28A0092B-C50C-407E-A947-70E740481C1C}"/>
                      </a:extLst>
                    </a:blip>
                    <a:srcRect/>
                    <a:stretch>
                      <a:fillRect/>
                    </a:stretch>
                  </pic:blipFill>
                  <pic:spPr bwMode="auto">
                    <a:xfrm>
                      <a:off x="0" y="0"/>
                      <a:ext cx="881380" cy="414655"/>
                    </a:xfrm>
                    <a:prstGeom prst="rect">
                      <a:avLst/>
                    </a:prstGeom>
                    <a:noFill/>
                  </pic:spPr>
                </pic:pic>
              </a:graphicData>
            </a:graphic>
          </wp:anchor>
        </w:drawing>
      </w:r>
    </w:p>
    <w:sectPr>
      <w:pgSz w:w="11880" w:h="15480" w:orient="portrait"/>
      <w:cols w:equalWidth="0" w:num="1">
        <w:col w:w="9480"/>
      </w:cols>
      <w:pgMar w:left="9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8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2"/>
    </w:lvl>
  </w:abstractNum>
  <w:abstractNum w:abstractNumId="2">
    <w:nsid w:val="2CD89A32"/>
    <w:multiLevelType w:val="hybridMultilevel"/>
    <w:lvl w:ilvl="0">
      <w:lvlJc w:val="left"/>
      <w:lvlText w:val="(%1)"/>
      <w:numFmt w:val="decimal"/>
      <w:start w:val="2"/>
    </w:lvl>
  </w:abstractNum>
  <w:abstractNum w:abstractNumId="3">
    <w:nsid w:val="57E4CCAF"/>
    <w:multiLevelType w:val="hybridMultilevel"/>
    <w:lvl w:ilvl="0">
      <w:lvlJc w:val="left"/>
      <w:lvlText w:val="շ"/>
      <w:numFmt w:val="bullet"/>
      <w:start w:val="1"/>
    </w:lvl>
  </w:abstractNum>
  <w:abstractNum w:abstractNumId="4">
    <w:nsid w:val="7A6D8D3C"/>
    <w:multiLevelType w:val="hybridMultilevel"/>
    <w:lvl w:ilvl="0">
      <w:lvlJc w:val="left"/>
      <w:lvlText w:val="ն"/>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upperLetter"/>
      <w:start w:val="35"/>
    </w:lvl>
  </w:abstractNum>
  <w:abstractNum w:abstractNumId="17">
    <w:nsid w:val="75C6C33A"/>
    <w:multiLevelType w:val="hybridMultilevel"/>
    <w:lvl w:ilvl="0">
      <w:lvlJc w:val="left"/>
      <w:lvlText w:val="\endash "/>
      <w:numFmt w:val="bullet"/>
      <w:start w:val="1"/>
    </w:lvl>
  </w:abstractNum>
  <w:abstractNum w:abstractNumId="18">
    <w:nsid w:val="12E685FB"/>
    <w:multiLevelType w:val="hybridMultilevel"/>
    <w:lvl w:ilvl="0">
      <w:lvlJc w:val="left"/>
      <w:lvlText w:val="%1:"/>
      <w:numFmt w:val="upperLetter"/>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upperLetter"/>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lowerRoman"/>
      <w:start w:val="3"/>
    </w:lvl>
  </w:abstractNum>
  <w:abstractNum w:abstractNumId="29">
    <w:nsid w:val="235BA861"/>
    <w:multiLevelType w:val="hybridMultilevel"/>
    <w:lvl w:ilvl="0">
      <w:lvlJc w:val="left"/>
      <w:lvlText w:val="(%1)"/>
      <w:numFmt w:val="lowerRoman"/>
      <w:start w:val="2"/>
    </w:lvl>
  </w:abstractNum>
  <w:abstractNum w:abstractNumId="30">
    <w:nsid w:val="47398C89"/>
    <w:multiLevelType w:val="hybridMultilevel"/>
    <w:lvl w:ilvl="0">
      <w:lvlJc w:val="left"/>
      <w:lvlText w:val="(%1)"/>
      <w:numFmt w:val="lowerLetter"/>
      <w:start w:val="25"/>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
      <w:numFmt w:val="bullet"/>
      <w:start w:val="1"/>
    </w:lvl>
    <w:lvl w:ilvl="1">
      <w:lvlJc w:val="left"/>
      <w:lvlText w:val="%2"/>
      <w:numFmt w:val="decimal"/>
      <w:start w:val="104"/>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2026-04-24T05:37:37Z</dcterms:created>
  <dcterms:modified xsi:type="dcterms:W3CDTF">2026-04-24T05:37:37Z</dcterms:modified>
</cp:coreProperties>
</file>