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sana-20230817.htm"/>
      <w:bookmarkStart w:id="1" w:name="kssana20230817"/>
      <w:bookmarkEnd w:id="0"/>
      <w:bookmarkEnd w:id="1"/>
      <w:r>
        <w:rPr/>
        <w:t> </w:t>
      </w:r>
    </w:p>
    <w:p>
      <w:pPr>
        <w:pStyle w:val="TextBody"/>
        <w:pBdr>
          <w:bottom w:val="single" w:sz="6" w:space="1" w:color="000000"/>
        </w:pBdr>
        <w:bidi w:val="0"/>
        <w:spacing w:before="0" w:after="0"/>
        <w:jc w:val="left"/>
        <w:rPr/>
      </w:pPr>
      <w:r>
        <w:rPr/>
        <w:t> </w:t>
      </w:r>
    </w:p>
    <w:p>
      <w:pPr>
        <w:pStyle w:val="TextBody"/>
        <w:bidi w:val="0"/>
        <w:spacing w:before="0" w:after="0"/>
        <w:jc w:val="center"/>
        <w:rPr>
          <w:rFonts w:ascii="Times New Roman" w:hAnsi="Times New Roman"/>
          <w:sz w:val="20"/>
        </w:rPr>
      </w:pPr>
      <w:r>
        <w:rPr>
          <w:rFonts w:ascii="Times New Roman;serif" w:hAnsi="Times New Roman;serif"/>
          <w:b/>
          <w:sz w:val="36"/>
        </w:rPr>
        <w:t>UNITED STATES</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serif" w:hAnsi="Times New Roman;serif"/>
          <w:b/>
          <w:sz w:val="36"/>
        </w:rPr>
        <w:t>SECURITIES AND EXCHANGE COMMISSION</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serif" w:hAnsi="Times New Roman;serif"/>
          <w:b/>
          <w:sz w:val="24"/>
        </w:rPr>
        <w:t>Washington, D.C. 20549</w:t>
      </w:r>
      <w:r>
        <w:rPr>
          <w:rFonts w:ascii="Times New Roman" w:hAnsi="Times New Roman"/>
          <w:sz w:val="20"/>
        </w:rPr>
        <w:t xml:space="preserve"> </w:t>
      </w:r>
    </w:p>
    <w:p>
      <w:pPr>
        <w:pStyle w:val="TextBody"/>
        <w:pBdr>
          <w:bottom w:val="single" w:sz="8" w:space="1" w:color="000000"/>
        </w:pBdr>
        <w:bidi w:val="0"/>
        <w:spacing w:before="0" w:after="0"/>
        <w:jc w:val="center"/>
        <w:rPr/>
      </w:pPr>
      <w:r>
        <w:rPr/>
        <w:t> </w:t>
      </w:r>
    </w:p>
    <w:p>
      <w:pPr>
        <w:pStyle w:val="TextBody"/>
        <w:bidi w:val="0"/>
        <w:spacing w:before="240" w:after="0"/>
        <w:jc w:val="center"/>
        <w:rPr>
          <w:rFonts w:ascii="Times New Roman" w:hAnsi="Times New Roman"/>
          <w:sz w:val="20"/>
        </w:rPr>
      </w:pPr>
      <w:r>
        <w:rPr>
          <w:rFonts w:ascii="Times New Roman;serif" w:hAnsi="Times New Roman;serif"/>
          <w:b/>
          <w:sz w:val="36"/>
        </w:rPr>
        <w:t>FORM 8-K</w:t>
      </w:r>
      <w:r>
        <w:rPr>
          <w:rFonts w:ascii="Times New Roman" w:hAnsi="Times New Roman"/>
          <w:sz w:val="20"/>
        </w:rPr>
        <w:t xml:space="preserve"> </w:t>
      </w:r>
    </w:p>
    <w:p>
      <w:pPr>
        <w:pStyle w:val="TextBody"/>
        <w:pBdr>
          <w:bottom w:val="single" w:sz="8" w:space="1" w:color="000000"/>
        </w:pBdr>
        <w:bidi w:val="0"/>
        <w:spacing w:before="0" w:after="0"/>
        <w:jc w:val="center"/>
        <w:rPr/>
      </w:pPr>
      <w:r>
        <w:rPr/>
        <w:t> </w:t>
      </w:r>
    </w:p>
    <w:p>
      <w:pPr>
        <w:pStyle w:val="TextBody"/>
        <w:bidi w:val="0"/>
        <w:spacing w:before="0" w:after="0"/>
        <w:jc w:val="center"/>
        <w:rPr>
          <w:rFonts w:ascii="Times New Roman" w:hAnsi="Times New Roman"/>
          <w:sz w:val="20"/>
        </w:rPr>
      </w:pPr>
      <w:r>
        <w:rPr>
          <w:rFonts w:ascii="Times New Roman;serif" w:hAnsi="Times New Roman;serif"/>
          <w:b/>
          <w:sz w:val="24"/>
        </w:rPr>
        <w:t>CURRENT REPORT</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serif" w:hAnsi="Times New Roman;serif"/>
          <w:b/>
          <w:sz w:val="24"/>
        </w:rPr>
        <w:t>Pursuant to Section 13 or 15(d) of the</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serif" w:hAnsi="Times New Roman;serif"/>
          <w:b/>
          <w:sz w:val="24"/>
        </w:rPr>
        <w:t>Securities Exchange Act of 1934</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serif" w:hAnsi="Times New Roman;serif"/>
          <w:b/>
          <w:sz w:val="24"/>
        </w:rPr>
        <w:t>Date of Report (Date of earliest event reported): August 17, 2023</w:t>
      </w:r>
      <w:r>
        <w:rPr>
          <w:rFonts w:ascii="Times New Roman" w:hAnsi="Times New Roman"/>
          <w:sz w:val="20"/>
        </w:rPr>
        <w:t xml:space="preserve"> </w:t>
      </w:r>
    </w:p>
    <w:p>
      <w:pPr>
        <w:pStyle w:val="TextBody"/>
        <w:pBdr>
          <w:bottom w:val="single" w:sz="8" w:space="1" w:color="000000"/>
        </w:pBdr>
        <w:bidi w:val="0"/>
        <w:spacing w:before="0" w:after="0"/>
        <w:jc w:val="center"/>
        <w:rPr/>
      </w:pPr>
      <w:r>
        <w:rPr/>
        <w:t> </w:t>
      </w:r>
    </w:p>
    <w:p>
      <w:pPr>
        <w:pStyle w:val="TextBody"/>
        <w:bidi w:val="0"/>
        <w:spacing w:before="0" w:after="0"/>
        <w:jc w:val="center"/>
        <w:rPr>
          <w:rFonts w:ascii="Times New Roman" w:hAnsi="Times New Roman"/>
          <w:sz w:val="20"/>
        </w:rPr>
      </w:pPr>
      <w:r>
        <w:rPr>
          <w:rFonts w:ascii="Times New Roman;serif" w:hAnsi="Times New Roman;serif"/>
          <w:b/>
          <w:sz w:val="48"/>
        </w:rPr>
        <w:t>SANA BIOTECHNOLOGY, INC.</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serif" w:hAnsi="Times New Roman;serif"/>
          <w:b/>
          <w:sz w:val="20"/>
        </w:rPr>
        <w:t>(Exact name of registrant as specified in its charter)</w:t>
      </w:r>
      <w:r>
        <w:rPr>
          <w:rFonts w:ascii="Times New Roman" w:hAnsi="Times New Roman"/>
          <w:sz w:val="20"/>
        </w:rPr>
        <w:t xml:space="preserve"> </w:t>
      </w:r>
    </w:p>
    <w:p>
      <w:pPr>
        <w:pStyle w:val="TextBody"/>
        <w:pBdr>
          <w:bottom w:val="single" w:sz="8" w:space="1" w:color="000000"/>
        </w:pBdr>
        <w:bidi w:val="0"/>
        <w:spacing w:before="0" w:after="0"/>
        <w:jc w:val="center"/>
        <w:rPr/>
      </w:pPr>
      <w:r>
        <w:rPr/>
        <w:t> </w:t>
      </w:r>
    </w:p>
    <w:tbl>
      <w:tblPr>
        <w:tblW w:w="5245" w:type="dxa"/>
        <w:jc w:val="left"/>
        <w:tblInd w:w="0" w:type="dxa"/>
        <w:tblLayout w:type="fixed"/>
        <w:tblCellMar>
          <w:top w:w="28" w:type="dxa"/>
          <w:left w:w="28" w:type="dxa"/>
          <w:bottom w:w="28" w:type="dxa"/>
          <w:right w:w="28" w:type="dxa"/>
        </w:tblCellMar>
      </w:tblPr>
      <w:tblGrid>
        <w:gridCol w:w="2071"/>
        <w:gridCol w:w="146"/>
        <w:gridCol w:w="1066"/>
        <w:gridCol w:w="146"/>
        <w:gridCol w:w="1816"/>
      </w:tblGrid>
      <w:tr>
        <w:trPr/>
        <w:tc>
          <w:tcPr>
            <w:tcW w:w="20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6" w:type="dxa"/>
            <w:tcBorders/>
            <w:vAlign w:val="center"/>
          </w:tcPr>
          <w:p>
            <w:pPr>
              <w:pStyle w:val="TableContents"/>
              <w:bidi w:val="0"/>
              <w:spacing w:before="0" w:after="283"/>
              <w:jc w:val="left"/>
              <w:rPr>
                <w:sz w:val="4"/>
                <w:szCs w:val="4"/>
              </w:rPr>
            </w:pPr>
            <w:r>
              <w:rPr>
                <w:sz w:val="4"/>
                <w:szCs w:val="4"/>
              </w:rPr>
            </w:r>
          </w:p>
        </w:tc>
      </w:tr>
      <w:tr>
        <w:trPr/>
        <w:tc>
          <w:tcPr>
            <w:tcW w:w="20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6" w:type="dxa"/>
            <w:tcBorders/>
            <w:vAlign w:val="center"/>
          </w:tcPr>
          <w:p>
            <w:pPr>
              <w:pStyle w:val="TableContents"/>
              <w:bidi w:val="0"/>
              <w:spacing w:before="0" w:after="0"/>
              <w:ind w:left="0" w:right="0" w:hanging="0"/>
              <w:jc w:val="left"/>
              <w:rPr/>
            </w:pPr>
            <w:r>
              <w:rPr/>
              <w:t> </w:t>
            </w:r>
          </w:p>
        </w:tc>
      </w:tr>
      <w:tr>
        <w:trPr/>
        <w:tc>
          <w:tcPr>
            <w:tcW w:w="2071" w:type="dxa"/>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Delaware</w:t>
            </w:r>
          </w:p>
        </w:tc>
        <w:tc>
          <w:tcPr>
            <w:tcW w:w="146" w:type="dxa"/>
            <w:tcBorders/>
            <w:vAlign w:val="center"/>
          </w:tcPr>
          <w:p>
            <w:pPr>
              <w:pStyle w:val="TableContents"/>
              <w:bidi w:val="0"/>
              <w:spacing w:before="0" w:after="0"/>
              <w:ind w:left="0" w:right="0" w:hanging="0"/>
              <w:jc w:val="left"/>
              <w:rPr/>
            </w:pPr>
            <w:r>
              <w:rPr/>
              <w:t> </w:t>
            </w:r>
          </w:p>
        </w:tc>
        <w:tc>
          <w:tcPr>
            <w:tcW w:w="1066" w:type="dxa"/>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001-39941</w:t>
            </w:r>
          </w:p>
        </w:tc>
        <w:tc>
          <w:tcPr>
            <w:tcW w:w="146" w:type="dxa"/>
            <w:tcBorders/>
            <w:vAlign w:val="center"/>
          </w:tcPr>
          <w:p>
            <w:pPr>
              <w:pStyle w:val="TableContents"/>
              <w:bidi w:val="0"/>
              <w:spacing w:before="0" w:after="0"/>
              <w:ind w:left="0" w:right="0" w:hanging="0"/>
              <w:jc w:val="left"/>
              <w:rPr/>
            </w:pPr>
            <w:r>
              <w:rPr/>
              <w:t> </w:t>
            </w:r>
          </w:p>
        </w:tc>
        <w:tc>
          <w:tcPr>
            <w:tcW w:w="1816" w:type="dxa"/>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83-1381173</w:t>
            </w:r>
          </w:p>
        </w:tc>
      </w:tr>
      <w:tr>
        <w:trPr/>
        <w:tc>
          <w:tcPr>
            <w:tcW w:w="2071" w:type="dxa"/>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(State or other jurisdiction</w:t>
            </w:r>
          </w:p>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of incorporation)</w:t>
            </w:r>
          </w:p>
        </w:tc>
        <w:tc>
          <w:tcPr>
            <w:tcW w:w="146" w:type="dxa"/>
            <w:tcBorders/>
            <w:vAlign w:val="center"/>
          </w:tcPr>
          <w:p>
            <w:pPr>
              <w:pStyle w:val="TableContents"/>
              <w:bidi w:val="0"/>
              <w:spacing w:before="0" w:after="0"/>
              <w:ind w:left="0" w:right="0" w:hanging="0"/>
              <w:jc w:val="left"/>
              <w:rPr/>
            </w:pPr>
            <w:r>
              <w:rPr/>
              <w:t> </w:t>
            </w:r>
          </w:p>
        </w:tc>
        <w:tc>
          <w:tcPr>
            <w:tcW w:w="1066" w:type="dxa"/>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(Commission</w:t>
            </w:r>
          </w:p>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File Number)</w:t>
            </w:r>
          </w:p>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816" w:type="dxa"/>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(IRS Employer</w:t>
            </w:r>
          </w:p>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Identification Number)</w:t>
            </w:r>
          </w:p>
        </w:tc>
      </w:tr>
    </w:tbl>
    <w:p>
      <w:pPr>
        <w:pStyle w:val="TextBody"/>
        <w:bidi w:val="0"/>
        <w:spacing w:before="0" w:after="0"/>
        <w:jc w:val="center"/>
        <w:rPr>
          <w:rFonts w:ascii="Times New Roman;serif" w:hAnsi="Times New Roman;serif"/>
          <w:b/>
          <w:sz w:val="20"/>
        </w:rPr>
      </w:pPr>
      <w:r>
        <w:rPr>
          <w:rFonts w:ascii="Times New Roman;serif" w:hAnsi="Times New Roman;serif"/>
          <w:b/>
          <w:sz w:val="20"/>
        </w:rPr>
        <w:t>188 East Blaine Street, Suite 400</w:t>
      </w:r>
    </w:p>
    <w:p>
      <w:pPr>
        <w:pStyle w:val="TextBody"/>
        <w:bidi w:val="0"/>
        <w:spacing w:before="0" w:after="0"/>
        <w:jc w:val="center"/>
        <w:rPr>
          <w:rFonts w:ascii="Times New Roman" w:hAnsi="Times New Roman"/>
          <w:sz w:val="20"/>
        </w:rPr>
      </w:pPr>
      <w:r>
        <w:rPr>
          <w:rFonts w:ascii="Times New Roman;serif" w:hAnsi="Times New Roman;serif"/>
          <w:b/>
          <w:sz w:val="20"/>
        </w:rPr>
        <w:t>Seattle, Washington</w:t>
      </w:r>
      <w:r>
        <w:rPr>
          <w:rFonts w:ascii="Times New Roman" w:hAnsi="Times New Roman"/>
          <w:sz w:val="20"/>
        </w:rPr>
        <w:t xml:space="preserve"> </w:t>
      </w:r>
      <w:r>
        <w:rPr>
          <w:rFonts w:ascii="Times New Roman;serif" w:hAnsi="Times New Roman;serif"/>
          <w:b/>
          <w:sz w:val="20"/>
        </w:rPr>
        <w:t>98102</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serif" w:hAnsi="Times New Roman;serif"/>
          <w:b/>
          <w:sz w:val="16"/>
        </w:rPr>
        <w:t>(Address of principal executive offices, including Zip Code)</w:t>
      </w:r>
      <w:r>
        <w:rPr>
          <w:rFonts w:ascii="Times New Roman" w:hAnsi="Times New Roman"/>
          <w:sz w:val="20"/>
        </w:rPr>
        <w:t xml:space="preserve"> </w:t>
      </w:r>
    </w:p>
    <w:p>
      <w:pPr>
        <w:pStyle w:val="TextBody"/>
        <w:bidi w:val="0"/>
        <w:spacing w:before="0" w:after="0"/>
        <w:jc w:val="center"/>
        <w:rPr/>
      </w:pPr>
      <w:r>
        <w:rPr/>
        <w:t> </w:t>
      </w:r>
    </w:p>
    <w:p>
      <w:pPr>
        <w:pStyle w:val="TextBody"/>
        <w:bidi w:val="0"/>
        <w:spacing w:before="0" w:after="0"/>
        <w:jc w:val="center"/>
        <w:rPr>
          <w:rFonts w:ascii="Times New Roman;serif" w:hAnsi="Times New Roman;serif"/>
          <w:b/>
          <w:sz w:val="20"/>
        </w:rPr>
      </w:pPr>
      <w:r>
        <w:rPr>
          <w:rFonts w:ascii="Times New Roman;serif" w:hAnsi="Times New Roman;serif"/>
          <w:b/>
          <w:sz w:val="20"/>
        </w:rPr>
        <w:t>Registrant’s telephone number, including area code: (206) 701-7914</w:t>
      </w:r>
    </w:p>
    <w:p>
      <w:pPr>
        <w:pStyle w:val="TextBody"/>
        <w:pBdr>
          <w:bottom w:val="single" w:sz="8" w:space="1" w:color="000000"/>
        </w:pBdr>
        <w:bidi w:val="0"/>
        <w:spacing w:before="0" w:after="0"/>
        <w:jc w:val="center"/>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0"/>
        </w:rPr>
        <w:t>Check the appropriate box below if the Form 8-K filing is intended to simultaneously satisfy the filing obligation of the registrant under any of the following provisions:</w:t>
      </w:r>
      <w:r>
        <w:rPr>
          <w:rFonts w:ascii="Times New Roman" w:hAnsi="Times New Roman"/>
          <w:sz w:val="20"/>
        </w:rPr>
        <w:t xml:space="preserve"> </w:t>
      </w:r>
    </w:p>
    <w:p>
      <w:pPr>
        <w:pStyle w:val="TextBody"/>
        <w:bidi w:val="0"/>
        <w:spacing w:before="0" w:after="0"/>
        <w:jc w:val="left"/>
        <w:rPr/>
      </w:pPr>
      <w:r>
        <w:rPr/>
        <w:t xml:space="preserve">☐ </w:t>
      </w:r>
      <w:r>
        <w:rPr>
          <w:rFonts w:ascii="Times New Roman;serif" w:hAnsi="Times New Roman;serif"/>
          <w:b w:val="false"/>
          <w:sz w:val="20"/>
        </w:rPr>
        <w:t>Written communications pursuant to Rule 425 under the Securities Act (17 CFR 230.425)</w:t>
      </w:r>
      <w:r>
        <w:rPr>
          <w:rFonts w:ascii="Times New Roman" w:hAnsi="Times New Roman"/>
          <w:sz w:val="20"/>
        </w:rPr>
        <w:t xml:space="preserve"> </w:t>
      </w:r>
    </w:p>
    <w:p>
      <w:pPr>
        <w:pStyle w:val="TextBody"/>
        <w:bidi w:val="0"/>
        <w:spacing w:before="0" w:after="0"/>
        <w:jc w:val="left"/>
        <w:rPr/>
      </w:pPr>
      <w:r>
        <w:rPr/>
        <w:t xml:space="preserve">☐ </w:t>
      </w:r>
      <w:r>
        <w:rPr>
          <w:rFonts w:ascii="Times New Roman;serif" w:hAnsi="Times New Roman;serif"/>
          <w:b w:val="false"/>
          <w:sz w:val="20"/>
        </w:rPr>
        <w:t>Soliciting material pursuant to Rule 14a-12 under the Exchange Act (17 CFR 240.14a-12)</w:t>
      </w:r>
      <w:r>
        <w:rPr>
          <w:rFonts w:ascii="Times New Roman" w:hAnsi="Times New Roman"/>
          <w:sz w:val="20"/>
        </w:rPr>
        <w:t xml:space="preserve"> </w:t>
      </w:r>
    </w:p>
    <w:p>
      <w:pPr>
        <w:pStyle w:val="TextBody"/>
        <w:bidi w:val="0"/>
        <w:spacing w:before="0" w:after="0"/>
        <w:jc w:val="left"/>
        <w:rPr/>
      </w:pPr>
      <w:r>
        <w:rPr/>
        <w:t xml:space="preserve">☐ </w:t>
      </w:r>
      <w:r>
        <w:rPr>
          <w:rFonts w:ascii="Times New Roman;serif" w:hAnsi="Times New Roman;serif"/>
          <w:b w:val="false"/>
          <w:sz w:val="20"/>
        </w:rPr>
        <w:t>Pre-commencement communications pursuant to Rule 14d-2(b) under the Exchange Act (17 CFR 240.14d-2(b))</w:t>
      </w:r>
      <w:r>
        <w:rPr>
          <w:rFonts w:ascii="Times New Roman" w:hAnsi="Times New Roman"/>
          <w:sz w:val="20"/>
        </w:rPr>
        <w:t xml:space="preserve"> </w:t>
      </w:r>
    </w:p>
    <w:p>
      <w:pPr>
        <w:pStyle w:val="TextBody"/>
        <w:bidi w:val="0"/>
        <w:spacing w:before="0" w:after="0"/>
        <w:jc w:val="left"/>
        <w:rPr/>
      </w:pPr>
      <w:r>
        <w:rPr/>
        <w:t xml:space="preserve">☐ </w:t>
      </w:r>
      <w:r>
        <w:rPr>
          <w:rFonts w:ascii="Times New Roman;serif" w:hAnsi="Times New Roman;serif"/>
          <w:b w:val="false"/>
          <w:sz w:val="20"/>
        </w:rPr>
        <w:t>Pre-commencement communications pursuant to Rule 13e-4(c) under the Exchange Act (17 CFR 240.13e-4(c))</w:t>
      </w:r>
      <w:r>
        <w:rPr>
          <w:rFonts w:ascii="Times New Roman" w:hAnsi="Times New Roman"/>
          <w:sz w:val="20"/>
        </w:rPr>
        <w:t xml:space="preserve"> </w:t>
      </w:r>
    </w:p>
    <w:p>
      <w:pPr>
        <w:pStyle w:val="TextBody"/>
        <w:pBdr>
          <w:bottom w:val="single" w:sz="6" w:space="1" w:color="000000"/>
        </w:pBdr>
        <w:bidi w:val="0"/>
        <w:spacing w:before="0" w:after="0"/>
        <w:jc w:val="left"/>
        <w:rPr/>
      </w:pPr>
      <w:r>
        <w:rPr/>
        <w:t> </w:t>
      </w:r>
    </w:p>
    <w:p>
      <w:pPr>
        <w:pStyle w:val="TextBody"/>
        <w:bidi w:val="0"/>
        <w:spacing w:before="180" w:after="0"/>
        <w:jc w:val="left"/>
        <w:rPr>
          <w:rFonts w:ascii="Times New Roman;serif" w:hAnsi="Times New Roman;serif"/>
          <w:b w:val="false"/>
          <w:sz w:val="20"/>
        </w:rPr>
      </w:pPr>
      <w:r>
        <w:rPr>
          <w:rFonts w:ascii="Times New Roman;serif" w:hAnsi="Times New Roman;serif"/>
          <w:b w:val="false"/>
          <w:sz w:val="20"/>
        </w:rPr>
        <w:t>Securities registered pursuant to Section 12(b) of the Act:</w:t>
      </w:r>
    </w:p>
    <w:p>
      <w:pPr>
        <w:pStyle w:val="TextBody"/>
        <w:bidi w:val="0"/>
        <w:spacing w:before="0" w:after="0"/>
        <w:jc w:val="left"/>
        <w:rPr/>
      </w:pPr>
      <w:r>
        <w:rPr/>
        <w:t> </w:t>
      </w:r>
    </w:p>
    <w:tbl>
      <w:tblPr>
        <w:tblW w:w="9205" w:type="dxa"/>
        <w:jc w:val="left"/>
        <w:tblInd w:w="0" w:type="dxa"/>
        <w:tblLayout w:type="fixed"/>
        <w:tblCellMar>
          <w:top w:w="28" w:type="dxa"/>
          <w:left w:w="28" w:type="dxa"/>
          <w:bottom w:w="28" w:type="dxa"/>
          <w:right w:w="28" w:type="dxa"/>
        </w:tblCellMar>
      </w:tblPr>
      <w:tblGrid>
        <w:gridCol w:w="3871"/>
        <w:gridCol w:w="146"/>
        <w:gridCol w:w="1561"/>
        <w:gridCol w:w="146"/>
        <w:gridCol w:w="3481"/>
      </w:tblGrid>
      <w:tr>
        <w:trPr/>
        <w:tc>
          <w:tcPr>
            <w:tcW w:w="38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81" w:type="dxa"/>
            <w:tcBorders/>
            <w:vAlign w:val="center"/>
          </w:tcPr>
          <w:p>
            <w:pPr>
              <w:pStyle w:val="TableContents"/>
              <w:bidi w:val="0"/>
              <w:spacing w:before="0" w:after="283"/>
              <w:jc w:val="left"/>
              <w:rPr>
                <w:sz w:val="4"/>
                <w:szCs w:val="4"/>
              </w:rPr>
            </w:pPr>
            <w:r>
              <w:rPr>
                <w:sz w:val="4"/>
                <w:szCs w:val="4"/>
              </w:rPr>
            </w:r>
          </w:p>
        </w:tc>
      </w:tr>
      <w:tr>
        <w:trPr/>
        <w:tc>
          <w:tcPr>
            <w:tcW w:w="38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5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Trading 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4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Name of each exchange on which registered</w:t>
            </w:r>
          </w:p>
        </w:tc>
      </w:tr>
      <w:tr>
        <w:trPr/>
        <w:tc>
          <w:tcPr>
            <w:tcW w:w="3871" w:type="dxa"/>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Common Stock, $0.0001 par value per share</w:t>
            </w:r>
          </w:p>
        </w:tc>
        <w:tc>
          <w:tcPr>
            <w:tcW w:w="146" w:type="dxa"/>
            <w:tcBorders/>
            <w:vAlign w:val="center"/>
          </w:tcPr>
          <w:p>
            <w:pPr>
              <w:pStyle w:val="TableContents"/>
              <w:bidi w:val="0"/>
              <w:spacing w:before="0" w:after="0"/>
              <w:ind w:left="0" w:right="0" w:hanging="0"/>
              <w:jc w:val="left"/>
              <w:rPr/>
            </w:pPr>
            <w:r>
              <w:rPr/>
              <w:t> </w:t>
            </w:r>
          </w:p>
        </w:tc>
        <w:tc>
          <w:tcPr>
            <w:tcW w:w="1561" w:type="dxa"/>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SANA</w:t>
            </w:r>
          </w:p>
        </w:tc>
        <w:tc>
          <w:tcPr>
            <w:tcW w:w="146" w:type="dxa"/>
            <w:tcBorders/>
            <w:vAlign w:val="center"/>
          </w:tcPr>
          <w:p>
            <w:pPr>
              <w:pStyle w:val="TableContents"/>
              <w:bidi w:val="0"/>
              <w:spacing w:before="0" w:after="0"/>
              <w:ind w:left="0" w:right="0" w:hanging="0"/>
              <w:jc w:val="left"/>
              <w:rPr/>
            </w:pPr>
            <w:r>
              <w:rPr/>
              <w:t> </w:t>
            </w:r>
          </w:p>
        </w:tc>
        <w:tc>
          <w:tcPr>
            <w:tcW w:w="3481" w:type="dxa"/>
            <w:tcBorders/>
            <w:vAlign w:val="center"/>
          </w:tcPr>
          <w:p>
            <w:pPr>
              <w:pStyle w:val="TableContents"/>
              <w:bidi w:val="0"/>
              <w:spacing w:before="0" w:after="0"/>
              <w:ind w:left="0" w:right="0" w:hanging="0"/>
              <w:jc w:val="center"/>
              <w:rPr>
                <w:rFonts w:ascii="Times New Roman" w:hAnsi="Times New Roman"/>
                <w:sz w:val="20"/>
              </w:rPr>
            </w:pPr>
            <w:r>
              <w:rPr>
                <w:rFonts w:ascii="Times New Roman;serif" w:hAnsi="Times New Roman;serif"/>
                <w:b/>
                <w:sz w:val="20"/>
              </w:rPr>
              <w:t>The Nasdaq</w:t>
            </w:r>
            <w:r>
              <w:rPr>
                <w:rFonts w:ascii="Times New Roman" w:hAnsi="Times New Roman"/>
                <w:sz w:val="20"/>
              </w:rPr>
              <w:t> </w:t>
            </w:r>
            <w:r>
              <w:rPr>
                <w:rFonts w:ascii="Times New Roman;serif" w:hAnsi="Times New Roman;serif"/>
                <w:b/>
                <w:sz w:val="20"/>
              </w:rPr>
              <w:t>Stock Market LLC</w:t>
            </w:r>
          </w:p>
        </w:tc>
      </w:tr>
    </w:tbl>
    <w:p>
      <w:pPr>
        <w:pStyle w:val="TextBody"/>
        <w:pBdr>
          <w:bottom w:val="single" w:sz="6" w:space="1" w:color="000000"/>
        </w:pBdr>
        <w:bidi w:val="0"/>
        <w:spacing w:before="0" w:after="0"/>
        <w:jc w:val="center"/>
        <w:rPr/>
      </w:pPr>
      <w:r>
        <w:rPr/>
        <w:t>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jc w:val="right"/>
        <w:rPr>
          <w:rFonts w:ascii="Times New Roman" w:hAnsi="Times New Roman"/>
          <w:sz w:val="20"/>
        </w:rPr>
      </w:pPr>
      <w:r>
        <w:rPr>
          <w:rFonts w:ascii="Times New Roman;serif" w:hAnsi="Times New Roman;serif"/>
          <w:b w:val="false"/>
          <w:sz w:val="20"/>
        </w:rPr>
        <w:t xml:space="preserve">Emerging growth company </w:t>
      </w:r>
      <w:r>
        <w:rPr>
          <w:rFonts w:ascii="Times New Roman" w:hAnsi="Times New Roman"/>
          <w:sz w:val="20"/>
        </w:rPr>
        <w:t xml:space="preserve">☒ </w:t>
      </w:r>
    </w:p>
    <w:p>
      <w:pPr>
        <w:pStyle w:val="TextBody"/>
        <w:bidi w:val="0"/>
        <w:spacing w:before="0" w:after="0"/>
        <w:jc w:val="righ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both"/>
        <w:rPr>
          <w:rFonts w:ascii="Times New Roman;serif" w:hAnsi="Times New Roman;serif"/>
          <w:b/>
          <w:sz w:val="20"/>
        </w:rPr>
      </w:pPr>
      <w:r>
        <w:rPr>
          <w:rFonts w:ascii="Times New Roman;serif" w:hAnsi="Times New Roman;serif"/>
          <w:b/>
          <w:sz w:val="20"/>
        </w:rPr>
        <w:t>Item 1.02 Termination of a Material Definitive Agreement.</w:t>
      </w:r>
    </w:p>
    <w:p>
      <w:pPr>
        <w:pStyle w:val="TextBody"/>
        <w:bidi w:val="0"/>
        <w:spacing w:before="240" w:after="0"/>
        <w:jc w:val="left"/>
        <w:rPr>
          <w:rFonts w:ascii="Times New Roman" w:hAnsi="Times New Roman"/>
          <w:sz w:val="20"/>
        </w:rPr>
      </w:pPr>
      <w:r>
        <w:rPr>
          <w:rFonts w:ascii="Times New Roman;serif" w:hAnsi="Times New Roman;serif"/>
          <w:b w:val="false"/>
          <w:sz w:val="20"/>
        </w:rPr>
        <w:t>On August 17, 2023, Sana Biotechnology, Inc. (the “</w:t>
      </w:r>
      <w:r>
        <w:rPr>
          <w:rFonts w:ascii="Times New Roman;serif" w:hAnsi="Times New Roman;serif"/>
          <w:b w:val="false"/>
          <w:sz w:val="20"/>
          <w:u w:val="single"/>
        </w:rPr>
        <w:t>Company</w:t>
      </w:r>
      <w:r>
        <w:rPr>
          <w:rFonts w:ascii="Times New Roman" w:hAnsi="Times New Roman"/>
          <w:sz w:val="20"/>
        </w:rPr>
        <w:t>”</w:t>
      </w:r>
      <w:r>
        <w:rPr>
          <w:rFonts w:ascii="Times New Roman;serif" w:hAnsi="Times New Roman;serif"/>
          <w:b w:val="false"/>
          <w:sz w:val="20"/>
        </w:rPr>
        <w:t>) entered into a Lease Termination Agreement (the “</w:t>
      </w:r>
      <w:r>
        <w:rPr>
          <w:rFonts w:ascii="Times New Roman;serif" w:hAnsi="Times New Roman;serif"/>
          <w:b w:val="false"/>
          <w:sz w:val="20"/>
          <w:u w:val="single"/>
        </w:rPr>
        <w:t>Termination Agreement</w:t>
      </w:r>
      <w:r>
        <w:rPr>
          <w:rFonts w:ascii="Times New Roman" w:hAnsi="Times New Roman"/>
          <w:sz w:val="20"/>
        </w:rPr>
        <w:t>”</w:t>
      </w:r>
      <w:r>
        <w:rPr>
          <w:rFonts w:ascii="Times New Roman;serif" w:hAnsi="Times New Roman;serif"/>
          <w:b w:val="false"/>
          <w:sz w:val="20"/>
        </w:rPr>
        <w:t>) with Pacific Commons Owner, LP (the “</w:t>
      </w:r>
      <w:r>
        <w:rPr>
          <w:rFonts w:ascii="Times New Roman;serif" w:hAnsi="Times New Roman;serif"/>
          <w:b w:val="false"/>
          <w:sz w:val="20"/>
          <w:u w:val="single"/>
        </w:rPr>
        <w:t>Landlord</w:t>
      </w:r>
      <w:r>
        <w:rPr>
          <w:rFonts w:ascii="Times New Roman" w:hAnsi="Times New Roman"/>
          <w:sz w:val="20"/>
        </w:rPr>
        <w:t>”</w:t>
      </w:r>
      <w:r>
        <w:rPr>
          <w:rFonts w:ascii="Times New Roman;serif" w:hAnsi="Times New Roman;serif"/>
          <w:b w:val="false"/>
          <w:sz w:val="20"/>
        </w:rPr>
        <w:t>) for the early termination of that certain Lease Agreement between the Company and the Landlord dated July 13, 2021 (the “</w:t>
      </w:r>
      <w:r>
        <w:rPr>
          <w:rFonts w:ascii="Times New Roman;serif" w:hAnsi="Times New Roman;serif"/>
          <w:b w:val="false"/>
          <w:sz w:val="20"/>
          <w:u w:val="single"/>
        </w:rPr>
        <w:t>Lease</w:t>
      </w:r>
      <w:r>
        <w:rPr>
          <w:rFonts w:ascii="Times New Roman" w:hAnsi="Times New Roman"/>
          <w:sz w:val="20"/>
        </w:rPr>
        <w:t>”</w:t>
      </w:r>
      <w:r>
        <w:rPr>
          <w:rFonts w:ascii="Times New Roman;serif" w:hAnsi="Times New Roman;serif"/>
          <w:b w:val="false"/>
          <w:sz w:val="20"/>
        </w:rPr>
        <w:t>), pursuant to which the Company leased 163,193 square feet of industrial space located at 5567 Cushing Parkway in Fremont, California (the “</w:t>
      </w:r>
      <w:r>
        <w:rPr>
          <w:rFonts w:ascii="Times New Roman;serif" w:hAnsi="Times New Roman;serif"/>
          <w:b w:val="false"/>
          <w:sz w:val="20"/>
          <w:u w:val="single"/>
        </w:rPr>
        <w:t>Fremont Premises</w:t>
      </w:r>
      <w:r>
        <w:rPr>
          <w:rFonts w:ascii="Times New Roman" w:hAnsi="Times New Roman"/>
          <w:sz w:val="20"/>
        </w:rPr>
        <w:t>”</w:t>
      </w:r>
      <w:r>
        <w:rPr>
          <w:rFonts w:ascii="Times New Roman;serif" w:hAnsi="Times New Roman;serif"/>
          <w:b w:val="false"/>
          <w:sz w:val="20"/>
        </w:rPr>
        <w:t>).</w:t>
      </w:r>
      <w:r>
        <w:rPr>
          <w:rFonts w:ascii="Times New Roman" w:hAnsi="Times New Roman"/>
          <w:sz w:val="20"/>
        </w:rPr>
        <w:t xml:space="preserve"> </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Under the Termination Agreement, the Lease will terminate on August 30, 2023, and the Company will surrender its rights to the Fremont Premises on or before such date. The Company will pay the Landlord a termination fee of approximately $3.42 million, and the Landlord will return to the Company the irrevocable letter of credit provided by the Company as security under the Lease. The Termination Agreement provides for a release of claims by each of the Company and the Landlord, subject to certain customary exclusions.</w:t>
      </w:r>
    </w:p>
    <w:p>
      <w:pPr>
        <w:pStyle w:val="TextBody"/>
        <w:bidi w:val="0"/>
        <w:spacing w:before="240" w:after="0"/>
        <w:jc w:val="left"/>
        <w:rPr>
          <w:rFonts w:ascii="Times New Roman" w:hAnsi="Times New Roman"/>
          <w:sz w:val="20"/>
        </w:rPr>
      </w:pPr>
      <w:r>
        <w:rPr>
          <w:rFonts w:ascii="Times New Roman;serif" w:hAnsi="Times New Roman;serif"/>
          <w:b w:val="false"/>
          <w:sz w:val="20"/>
        </w:rPr>
        <w:t>As disclosed pursuant to that certain Current Report on Form 8-K filed by the Company with the SEC on June 1, 2022, the Company entered into an agreement to lease 79,565 square feet of laboratory and office and industrial space in Bothell, Washington (the “</w:t>
      </w:r>
      <w:r>
        <w:rPr>
          <w:rFonts w:ascii="Times New Roman;serif" w:hAnsi="Times New Roman;serif"/>
          <w:b w:val="false"/>
          <w:sz w:val="20"/>
          <w:u w:val="single"/>
        </w:rPr>
        <w:t>Bothell Facility</w:t>
      </w:r>
      <w:r>
        <w:rPr>
          <w:rFonts w:ascii="Times New Roman" w:hAnsi="Times New Roman"/>
          <w:sz w:val="20"/>
        </w:rPr>
        <w:t>”</w:t>
      </w:r>
      <w:r>
        <w:rPr>
          <w:rFonts w:ascii="Times New Roman;serif" w:hAnsi="Times New Roman;serif"/>
          <w:b w:val="false"/>
          <w:sz w:val="20"/>
        </w:rPr>
        <w:t>). The Company is establishing its planned manufacturing facility at the Bothell Facility instead of the Fremont Premises.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1</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serif" w:hAnsi="Times New Roman;serif"/>
          <w:b/>
          <w:sz w:val="20"/>
        </w:rPr>
      </w:pPr>
      <w:r>
        <w:rPr>
          <w:rFonts w:ascii="Times New Roman;serif" w:hAnsi="Times New Roman;serif"/>
          <w:b/>
          <w:sz w:val="20"/>
        </w:rPr>
        <w:t>SIGNATURES</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jc w:val="left"/>
        <w:rPr/>
      </w:pPr>
      <w:r>
        <w:rPr/>
        <w:t> </w:t>
      </w:r>
    </w:p>
    <w:tbl>
      <w:tblPr>
        <w:tblW w:w="6532" w:type="dxa"/>
        <w:jc w:val="left"/>
        <w:tblInd w:w="0" w:type="dxa"/>
        <w:tblLayout w:type="fixed"/>
        <w:tblCellMar>
          <w:top w:w="28" w:type="dxa"/>
          <w:left w:w="28" w:type="dxa"/>
          <w:bottom w:w="28" w:type="dxa"/>
          <w:right w:w="28" w:type="dxa"/>
        </w:tblCellMar>
      </w:tblPr>
      <w:tblGrid>
        <w:gridCol w:w="1951"/>
        <w:gridCol w:w="109"/>
        <w:gridCol w:w="406"/>
        <w:gridCol w:w="4066"/>
      </w:tblGrid>
      <w:tr>
        <w:trPr/>
        <w:tc>
          <w:tcPr>
            <w:tcW w:w="19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66" w:type="dxa"/>
            <w:tcBorders/>
            <w:vAlign w:val="center"/>
          </w:tcPr>
          <w:p>
            <w:pPr>
              <w:pStyle w:val="TableContents"/>
              <w:bidi w:val="0"/>
              <w:spacing w:before="0" w:after="283"/>
              <w:jc w:val="left"/>
              <w:rPr>
                <w:sz w:val="4"/>
                <w:szCs w:val="4"/>
              </w:rPr>
            </w:pPr>
            <w:r>
              <w:rPr>
                <w:sz w:val="4"/>
                <w:szCs w:val="4"/>
              </w:rPr>
            </w:r>
          </w:p>
        </w:tc>
      </w:tr>
      <w:tr>
        <w:trPr/>
        <w:tc>
          <w:tcPr>
            <w:tcW w:w="195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472" w:type="dxa"/>
            <w:gridSpan w:val="2"/>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Sana Biotechnology, Inc.</w:t>
            </w:r>
          </w:p>
        </w:tc>
      </w:tr>
      <w:tr>
        <w:trPr/>
        <w:tc>
          <w:tcPr>
            <w:tcW w:w="195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195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Date: August 21, 2023</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4066"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/s/ Bernard J. Cassidy</w:t>
            </w:r>
          </w:p>
        </w:tc>
      </w:tr>
      <w:tr>
        <w:trPr/>
        <w:tc>
          <w:tcPr>
            <w:tcW w:w="195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 w:hAnsi="Times New Roman"/>
                <w:sz w:val="20"/>
              </w:rPr>
            </w:pPr>
            <w:r>
              <w:rPr>
                <w:rFonts w:ascii="Times New Roman;serif" w:hAnsi="Times New Roman;serif"/>
                <w:b/>
                <w:sz w:val="20"/>
              </w:rPr>
              <w:t>Bernard J. Cassidy</w:t>
            </w:r>
            <w:r>
              <w:rPr>
                <w:rFonts w:ascii="Times New Roman" w:hAnsi="Times New Roman"/>
                <w:sz w:val="20"/>
              </w:rPr>
              <w:t xml:space="preserve"> </w:t>
            </w:r>
          </w:p>
        </w:tc>
      </w:tr>
      <w:tr>
        <w:trPr/>
        <w:tc>
          <w:tcPr>
            <w:tcW w:w="195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Executive Vice President and General Counsel</w:t>
            </w:r>
          </w:p>
        </w:tc>
      </w:tr>
    </w:tbl>
    <w:p>
      <w:pPr>
        <w:pStyle w:val="TextBody"/>
        <w:bidi w:val="0"/>
        <w:spacing w:before="240" w:after="0"/>
        <w:jc w:val="left"/>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2</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573</Words>
  <Characters>3145</Characters>
  <CharactersWithSpaces>3722</CharactersWithSpaces>
  <Paragraphs>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