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27, 2022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39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001-39941</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83-1381173</w:t>
      </w:r>
    </w:p>
    <w:p>
      <w:pPr>
        <w:spacing w:after="0" w:line="31" w:lineRule="exact"/>
        <w:rPr>
          <w:sz w:val="24"/>
          <w:szCs w:val="24"/>
          <w:color w:val="auto"/>
        </w:rPr>
      </w:pPr>
    </w:p>
    <w:p>
      <w:pPr>
        <w:sectPr>
          <w:pgSz w:w="11900" w:h="16838" w:orient="portrait"/>
          <w:cols w:equalWidth="0" w:num="3">
            <w:col w:w="4640" w:space="720"/>
            <w:col w:w="2940" w:space="720"/>
            <w:col w:w="2220"/>
          </w:cols>
          <w:pgMar w:left="320" w:top="476" w:right="3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135" w:lineRule="exact"/>
        <w:rPr>
          <w:sz w:val="24"/>
          <w:szCs w:val="24"/>
          <w:color w:val="auto"/>
        </w:rPr>
      </w:pPr>
    </w:p>
    <w:p>
      <w:pPr>
        <w:sectPr>
          <w:pgSz w:w="11900" w:h="16838" w:orient="portrait"/>
          <w:cols w:equalWidth="0" w:num="3">
            <w:col w:w="4620" w:space="720"/>
            <w:col w:w="2680" w:space="720"/>
            <w:col w:w="2500"/>
          </w:cols>
          <w:pgMar w:left="320" w:top="476"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188 East Blaine Street,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(206) 701-7914</w:t>
      </w:r>
    </w:p>
    <w:p>
      <w:pPr>
        <w:sectPr>
          <w:pgSz w:w="11900" w:h="16838" w:orient="portrait"/>
          <w:cols w:equalWidth="0" w:num="1">
            <w:col w:w="11240"/>
          </w:cols>
          <w:pgMar w:left="320" w:top="476" w:right="339" w:bottom="1440" w:gutter="0" w:footer="0" w:header="0"/>
          <w:type w:val="continuous"/>
        </w:sectPr>
      </w:pPr>
    </w:p>
    <w:p>
      <w:pPr>
        <w:spacing w:after="0" w:line="212"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SANA</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24"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620"/>
        <w:spacing w:after="0" w:line="18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October 27, 2022,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Sana Biotechnology,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 adopted the Company’s amended and restated Code of Business Conduct and Ethics (the “</w:t>
      </w:r>
      <w:r>
        <w:rPr>
          <w:rFonts w:ascii="Arial" w:cs="Arial" w:eastAsia="Arial" w:hAnsi="Arial"/>
          <w:sz w:val="18"/>
          <w:szCs w:val="18"/>
          <w:u w:val="single" w:color="auto"/>
          <w:color w:val="auto"/>
        </w:rPr>
        <w:t>Revised Code of Conduct</w:t>
      </w:r>
      <w:r>
        <w:rPr>
          <w:rFonts w:ascii="Arial" w:cs="Arial" w:eastAsia="Arial" w:hAnsi="Arial"/>
          <w:sz w:val="18"/>
          <w:szCs w:val="18"/>
          <w:color w:val="auto"/>
        </w:rPr>
        <w:t>”). The Revised Code of Conduct includes additional discussion regarding potential conflicts of interest, including policies and procedures applicable to potential conflicts of interest involving members of the Board and factors that may be considered in evaluating potential conflicts of interest.</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foregoing description of the Revised Code of Conduct is subject to, and qualified in its entirety by, the full text of the Revised Code of Conduct, which is incorporated herein by reference and is available on the Company’s investor relations website at https://ir.sana.com/corporate-governance/governance-overview. The contents on the Company’s website are not otherwise incorporated by reference in, or a part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Sana Biotechnology, Inc.</w:t>
      </w:r>
    </w:p>
    <w:p>
      <w:pPr>
        <w:spacing w:after="0" w:line="256" w:lineRule="exact"/>
        <w:rPr>
          <w:sz w:val="20"/>
          <w:szCs w:val="20"/>
          <w:color w:val="auto"/>
        </w:rPr>
      </w:pPr>
    </w:p>
    <w:p>
      <w:pPr>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Bernard J.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Bernard J. Cassidy</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Executive Vice President, General Counsel, and Corporate</w:t>
      </w:r>
    </w:p>
    <w:p>
      <w:pPr>
        <w:spacing w:after="0" w:line="34"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200"/>
      </w:cols>
      <w:pgMar w:left="320" w:top="5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2022-11-01T15:14:36Z</dcterms:created>
  <dcterms:modified xsi:type="dcterms:W3CDTF">2022-11-01T15:14:36Z</dcterms:modified>
</cp:coreProperties>
</file>